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88AF8DC" w14:textId="5943EB30" w:rsidR="0063702A" w:rsidRDefault="0063702A" w:rsidP="0063702A">
      <w:pPr>
        <w:jc w:val="center"/>
        <w:rPr>
          <w:rFonts w:ascii="Arial" w:eastAsia="Arial" w:hAnsi="Arial" w:cs="Arial"/>
          <w:sz w:val="20"/>
          <w:szCs w:val="20"/>
          <w:lang w:val="es-ES"/>
        </w:rPr>
      </w:pPr>
    </w:p>
    <w:p w14:paraId="1DA2761E" w14:textId="77777777" w:rsidR="007A008D" w:rsidRPr="00D9699B" w:rsidRDefault="007A008D" w:rsidP="0063702A">
      <w:pPr>
        <w:jc w:val="center"/>
        <w:rPr>
          <w:rFonts w:ascii="Arial" w:eastAsia="Arial" w:hAnsi="Arial" w:cs="Arial"/>
          <w:sz w:val="20"/>
          <w:szCs w:val="20"/>
          <w:lang w:val="es-ES"/>
        </w:rPr>
      </w:pPr>
    </w:p>
    <w:p w14:paraId="392A1BA4" w14:textId="77777777" w:rsidR="0063702A" w:rsidRPr="00D9699B" w:rsidRDefault="0063702A" w:rsidP="0063702A">
      <w:pPr>
        <w:jc w:val="center"/>
        <w:rPr>
          <w:rFonts w:ascii="Arial" w:eastAsia="Arial" w:hAnsi="Arial" w:cs="Arial"/>
          <w:b/>
          <w:sz w:val="20"/>
          <w:szCs w:val="20"/>
          <w:lang w:val="es-ES"/>
        </w:rPr>
      </w:pPr>
    </w:p>
    <w:p w14:paraId="1F73312E" w14:textId="77777777" w:rsidR="0063702A" w:rsidRPr="00D9699B" w:rsidRDefault="0063702A" w:rsidP="0063702A">
      <w:pPr>
        <w:jc w:val="center"/>
        <w:rPr>
          <w:rFonts w:ascii="Arial" w:eastAsia="Arial" w:hAnsi="Arial" w:cs="Arial"/>
          <w:b/>
          <w:sz w:val="20"/>
          <w:szCs w:val="20"/>
          <w:lang w:val="es-ES"/>
        </w:rPr>
      </w:pPr>
      <w:r w:rsidRPr="00D9699B">
        <w:rPr>
          <w:rFonts w:ascii="Arial" w:eastAsia="Arial" w:hAnsi="Arial" w:cs="Arial"/>
          <w:b/>
          <w:sz w:val="20"/>
          <w:szCs w:val="20"/>
          <w:lang w:val="es-ES"/>
        </w:rPr>
        <w:t>MEMORANDO</w:t>
      </w:r>
    </w:p>
    <w:p w14:paraId="287CF04A" w14:textId="712E0A49" w:rsidR="0063702A" w:rsidRPr="00D9699B" w:rsidRDefault="0063702A" w:rsidP="0063702A">
      <w:pPr>
        <w:rPr>
          <w:rFonts w:ascii="Arial" w:eastAsia="Arial" w:hAnsi="Arial" w:cs="Arial"/>
          <w:sz w:val="20"/>
          <w:szCs w:val="20"/>
          <w:lang w:val="es-MX"/>
        </w:rPr>
      </w:pPr>
    </w:p>
    <w:p w14:paraId="5C1B0346" w14:textId="1D90C570" w:rsidR="0063702A" w:rsidRPr="00D9699B" w:rsidRDefault="0063702A" w:rsidP="0063702A">
      <w:pPr>
        <w:rPr>
          <w:rFonts w:ascii="Arial" w:eastAsia="Arial" w:hAnsi="Arial" w:cs="Arial"/>
          <w:sz w:val="20"/>
          <w:szCs w:val="20"/>
        </w:rPr>
      </w:pPr>
      <w:r w:rsidRPr="00D9699B">
        <w:rPr>
          <w:rFonts w:ascii="Arial" w:eastAsia="Arial" w:hAnsi="Arial" w:cs="Arial"/>
          <w:sz w:val="20"/>
          <w:szCs w:val="20"/>
          <w:lang w:val="es-MX"/>
        </w:rPr>
        <w:t xml:space="preserve">PARA: </w:t>
      </w:r>
      <w:r w:rsidRPr="00D9699B">
        <w:rPr>
          <w:rFonts w:ascii="Arial" w:eastAsia="Arial" w:hAnsi="Arial" w:cs="Arial"/>
          <w:sz w:val="20"/>
          <w:szCs w:val="20"/>
          <w:lang w:val="es-MX"/>
        </w:rPr>
        <w:tab/>
      </w:r>
      <w:r w:rsidR="00F6351A">
        <w:rPr>
          <w:rFonts w:ascii="Arial" w:eastAsia="Arial" w:hAnsi="Arial" w:cs="Arial"/>
          <w:sz w:val="20"/>
          <w:szCs w:val="20"/>
          <w:lang w:val="es-MX"/>
        </w:rPr>
        <w:t xml:space="preserve">             </w:t>
      </w:r>
      <w:r w:rsidRPr="00D9699B">
        <w:rPr>
          <w:rFonts w:ascii="Arial" w:eastAsia="Arial" w:hAnsi="Arial" w:cs="Arial"/>
          <w:b/>
          <w:sz w:val="20"/>
          <w:szCs w:val="20"/>
        </w:rPr>
        <w:t>LUZ ANGÉLICA VIZCAINO SOLANO</w:t>
      </w:r>
    </w:p>
    <w:p w14:paraId="13597DB5" w14:textId="69312622" w:rsidR="0063702A" w:rsidRPr="00D9699B" w:rsidRDefault="0063702A" w:rsidP="0063702A">
      <w:pPr>
        <w:rPr>
          <w:rFonts w:ascii="Arial" w:eastAsia="Arial" w:hAnsi="Arial" w:cs="Arial"/>
          <w:sz w:val="20"/>
          <w:szCs w:val="20"/>
        </w:rPr>
      </w:pPr>
      <w:r w:rsidRPr="00D9699B">
        <w:rPr>
          <w:rFonts w:ascii="Arial" w:eastAsia="Arial" w:hAnsi="Arial" w:cs="Arial"/>
          <w:sz w:val="20"/>
          <w:szCs w:val="20"/>
        </w:rPr>
        <w:t xml:space="preserve">                       </w:t>
      </w:r>
      <w:r w:rsidR="00F6351A">
        <w:rPr>
          <w:rFonts w:ascii="Arial" w:eastAsia="Arial" w:hAnsi="Arial" w:cs="Arial"/>
          <w:sz w:val="20"/>
          <w:szCs w:val="20"/>
        </w:rPr>
        <w:t xml:space="preserve">   </w:t>
      </w:r>
      <w:r w:rsidRPr="00D9699B">
        <w:rPr>
          <w:rFonts w:ascii="Arial" w:eastAsia="Arial" w:hAnsi="Arial" w:cs="Arial"/>
          <w:sz w:val="20"/>
          <w:szCs w:val="20"/>
        </w:rPr>
        <w:t xml:space="preserve">Secretaria General </w:t>
      </w:r>
    </w:p>
    <w:p w14:paraId="68994786" w14:textId="691E6663" w:rsidR="0063702A" w:rsidRPr="00D9699B" w:rsidRDefault="0063702A" w:rsidP="0063702A">
      <w:pPr>
        <w:rPr>
          <w:rFonts w:ascii="Arial" w:eastAsia="Arial" w:hAnsi="Arial" w:cs="Arial"/>
          <w:sz w:val="20"/>
          <w:szCs w:val="20"/>
        </w:rPr>
      </w:pPr>
    </w:p>
    <w:p w14:paraId="5B59D4CB" w14:textId="439E8CA8" w:rsidR="0063702A" w:rsidRPr="00D9699B" w:rsidRDefault="0063702A" w:rsidP="0063702A">
      <w:pPr>
        <w:rPr>
          <w:rFonts w:ascii="Arial" w:eastAsia="Arial" w:hAnsi="Arial" w:cs="Arial"/>
          <w:b/>
          <w:sz w:val="20"/>
          <w:szCs w:val="20"/>
          <w:lang w:val="es-ES"/>
        </w:rPr>
      </w:pPr>
      <w:r w:rsidRPr="00D9699B">
        <w:rPr>
          <w:rFonts w:ascii="Arial" w:eastAsia="Arial" w:hAnsi="Arial" w:cs="Arial"/>
          <w:sz w:val="20"/>
          <w:szCs w:val="20"/>
          <w:lang w:val="es-MX"/>
        </w:rPr>
        <w:t>DE:</w:t>
      </w:r>
      <w:r w:rsidRPr="00D9699B">
        <w:rPr>
          <w:rFonts w:ascii="Arial" w:eastAsia="Arial" w:hAnsi="Arial" w:cs="Arial"/>
          <w:sz w:val="20"/>
          <w:szCs w:val="20"/>
          <w:lang w:val="es-MX"/>
        </w:rPr>
        <w:tab/>
      </w:r>
      <w:r w:rsidRPr="00D9699B">
        <w:rPr>
          <w:rFonts w:ascii="Arial" w:eastAsia="Arial" w:hAnsi="Arial" w:cs="Arial"/>
          <w:sz w:val="20"/>
          <w:szCs w:val="20"/>
          <w:lang w:val="es-MX"/>
        </w:rPr>
        <w:tab/>
      </w:r>
      <w:r w:rsidR="00EB79B1" w:rsidRPr="00D9699B">
        <w:rPr>
          <w:rFonts w:ascii="Arial" w:eastAsia="Arial" w:hAnsi="Arial" w:cs="Arial"/>
          <w:b/>
          <w:sz w:val="20"/>
          <w:szCs w:val="20"/>
          <w:lang w:val="es-ES"/>
        </w:rPr>
        <w:t>DAVID HERNANDO SAAVEDRA MURCIA</w:t>
      </w:r>
    </w:p>
    <w:p w14:paraId="204545EA" w14:textId="2268463D" w:rsidR="0063702A" w:rsidRPr="00D9699B" w:rsidRDefault="0063702A" w:rsidP="0063702A">
      <w:pPr>
        <w:rPr>
          <w:rFonts w:ascii="Arial" w:eastAsia="Arial" w:hAnsi="Arial" w:cs="Arial"/>
          <w:bCs/>
          <w:sz w:val="20"/>
          <w:szCs w:val="20"/>
          <w:lang w:val="es-ES"/>
        </w:rPr>
      </w:pPr>
      <w:r w:rsidRPr="00D9699B">
        <w:rPr>
          <w:rFonts w:ascii="Arial" w:eastAsia="Arial" w:hAnsi="Arial" w:cs="Arial"/>
          <w:b/>
          <w:sz w:val="20"/>
          <w:szCs w:val="20"/>
          <w:lang w:val="es-ES"/>
        </w:rPr>
        <w:tab/>
      </w:r>
      <w:r w:rsidRPr="00D9699B">
        <w:rPr>
          <w:rFonts w:ascii="Arial" w:eastAsia="Arial" w:hAnsi="Arial" w:cs="Arial"/>
          <w:b/>
          <w:sz w:val="20"/>
          <w:szCs w:val="20"/>
          <w:lang w:val="es-ES"/>
        </w:rPr>
        <w:tab/>
      </w:r>
      <w:r w:rsidR="00561AA0" w:rsidRPr="00D9699B">
        <w:rPr>
          <w:rFonts w:ascii="Arial" w:eastAsia="Arial" w:hAnsi="Arial" w:cs="Arial"/>
          <w:bCs/>
          <w:sz w:val="20"/>
          <w:szCs w:val="20"/>
          <w:lang w:val="es-ES"/>
        </w:rPr>
        <w:t>Concejal</w:t>
      </w:r>
    </w:p>
    <w:p w14:paraId="1C97F781" w14:textId="111EE406" w:rsidR="0063702A" w:rsidRPr="00D9699B" w:rsidRDefault="0063702A" w:rsidP="0063702A">
      <w:pPr>
        <w:rPr>
          <w:rFonts w:ascii="Arial" w:eastAsia="Arial" w:hAnsi="Arial" w:cs="Arial"/>
          <w:sz w:val="20"/>
          <w:szCs w:val="20"/>
          <w:lang w:val="es-MX"/>
        </w:rPr>
      </w:pPr>
    </w:p>
    <w:p w14:paraId="0CFECD02" w14:textId="77777777" w:rsidR="0063702A" w:rsidRPr="00D9699B" w:rsidRDefault="0063702A" w:rsidP="0063702A">
      <w:pPr>
        <w:rPr>
          <w:rFonts w:ascii="Arial" w:eastAsia="Arial" w:hAnsi="Arial" w:cs="Arial"/>
          <w:sz w:val="20"/>
          <w:szCs w:val="20"/>
          <w:lang w:val="es-MX"/>
        </w:rPr>
      </w:pPr>
    </w:p>
    <w:p w14:paraId="260B8199" w14:textId="77777777" w:rsidR="0063702A" w:rsidRPr="00D9699B" w:rsidRDefault="0063702A" w:rsidP="0063702A">
      <w:pPr>
        <w:rPr>
          <w:rFonts w:ascii="Arial" w:eastAsia="Arial" w:hAnsi="Arial" w:cs="Arial"/>
          <w:sz w:val="20"/>
          <w:szCs w:val="20"/>
          <w:lang w:val="es-MX"/>
        </w:rPr>
      </w:pPr>
      <w:r w:rsidRPr="00D9699B">
        <w:rPr>
          <w:rFonts w:ascii="Arial" w:eastAsia="Arial" w:hAnsi="Arial" w:cs="Arial"/>
          <w:sz w:val="20"/>
          <w:szCs w:val="20"/>
          <w:lang w:val="es-MX"/>
        </w:rPr>
        <w:t>ASUNTO:</w:t>
      </w:r>
      <w:r w:rsidRPr="00D9699B">
        <w:rPr>
          <w:rFonts w:ascii="Arial" w:eastAsia="Arial" w:hAnsi="Arial" w:cs="Arial"/>
          <w:sz w:val="20"/>
          <w:szCs w:val="20"/>
          <w:lang w:val="es-MX"/>
        </w:rPr>
        <w:tab/>
        <w:t xml:space="preserve">Presentación Proyecto de Acuerdo </w:t>
      </w:r>
    </w:p>
    <w:p w14:paraId="22778315" w14:textId="77777777" w:rsidR="0063702A" w:rsidRPr="00D9699B" w:rsidRDefault="0063702A" w:rsidP="0063702A">
      <w:pPr>
        <w:rPr>
          <w:rFonts w:ascii="Arial" w:eastAsia="Arial" w:hAnsi="Arial" w:cs="Arial"/>
          <w:sz w:val="20"/>
          <w:szCs w:val="20"/>
          <w:lang w:val="es-MX"/>
        </w:rPr>
      </w:pPr>
      <w:r w:rsidRPr="00D9699B">
        <w:rPr>
          <w:rFonts w:ascii="Arial" w:eastAsia="Arial" w:hAnsi="Arial" w:cs="Arial"/>
          <w:sz w:val="20"/>
          <w:szCs w:val="20"/>
          <w:lang w:val="es-MX"/>
        </w:rPr>
        <w:tab/>
      </w:r>
    </w:p>
    <w:p w14:paraId="5DEC6E74" w14:textId="77777777" w:rsidR="0063702A" w:rsidRPr="00D9699B" w:rsidRDefault="0063702A" w:rsidP="0063702A">
      <w:pPr>
        <w:rPr>
          <w:rFonts w:ascii="Arial" w:eastAsia="Arial" w:hAnsi="Arial" w:cs="Arial"/>
          <w:sz w:val="20"/>
          <w:szCs w:val="20"/>
          <w:lang w:val="es-MX"/>
        </w:rPr>
      </w:pPr>
    </w:p>
    <w:p w14:paraId="52565053" w14:textId="77777777" w:rsidR="0063702A" w:rsidRPr="00D9699B" w:rsidRDefault="0063702A" w:rsidP="0063702A">
      <w:pPr>
        <w:rPr>
          <w:rFonts w:ascii="Arial" w:eastAsia="Arial" w:hAnsi="Arial" w:cs="Arial"/>
          <w:sz w:val="20"/>
          <w:szCs w:val="20"/>
          <w:lang w:val="es-MX"/>
        </w:rPr>
      </w:pPr>
      <w:r w:rsidRPr="00D9699B">
        <w:rPr>
          <w:rFonts w:ascii="Arial" w:eastAsia="Arial" w:hAnsi="Arial" w:cs="Arial"/>
          <w:sz w:val="20"/>
          <w:szCs w:val="20"/>
          <w:lang w:val="es-MX"/>
        </w:rPr>
        <w:t>Estimada Secretaria</w:t>
      </w:r>
    </w:p>
    <w:p w14:paraId="5454677A" w14:textId="77777777" w:rsidR="0063702A" w:rsidRPr="00D9699B" w:rsidRDefault="0063702A" w:rsidP="0063702A">
      <w:pPr>
        <w:rPr>
          <w:rFonts w:ascii="Arial" w:eastAsia="Arial" w:hAnsi="Arial" w:cs="Arial"/>
          <w:sz w:val="20"/>
          <w:szCs w:val="20"/>
          <w:lang w:val="es-MX"/>
        </w:rPr>
      </w:pPr>
    </w:p>
    <w:p w14:paraId="74DC8B7E" w14:textId="612ED295" w:rsidR="0063702A" w:rsidRPr="00D9699B" w:rsidRDefault="0063702A" w:rsidP="00D9699B">
      <w:pPr>
        <w:jc w:val="both"/>
        <w:rPr>
          <w:rFonts w:ascii="Arial" w:eastAsia="Arial" w:hAnsi="Arial" w:cs="Arial"/>
          <w:b/>
          <w:sz w:val="20"/>
          <w:szCs w:val="20"/>
          <w:lang w:val="es-ES"/>
        </w:rPr>
      </w:pPr>
      <w:r w:rsidRPr="00D9699B">
        <w:rPr>
          <w:rFonts w:ascii="Arial" w:eastAsia="Arial" w:hAnsi="Arial" w:cs="Arial"/>
          <w:sz w:val="20"/>
          <w:szCs w:val="20"/>
          <w:lang w:val="es-MX"/>
        </w:rPr>
        <w:t>Teniendo en cuenta el Reglamento Interno del Concejo de Bogotá y para efectos de llevar a cabo las competenci</w:t>
      </w:r>
      <w:r w:rsidR="006D2A4A" w:rsidRPr="00D9699B">
        <w:rPr>
          <w:rFonts w:ascii="Arial" w:eastAsia="Arial" w:hAnsi="Arial" w:cs="Arial"/>
          <w:sz w:val="20"/>
          <w:szCs w:val="20"/>
          <w:lang w:val="es-MX"/>
        </w:rPr>
        <w:t>as que el mismo otorga, presentamos</w:t>
      </w:r>
      <w:r w:rsidRPr="00D9699B">
        <w:rPr>
          <w:rFonts w:ascii="Arial" w:eastAsia="Arial" w:hAnsi="Arial" w:cs="Arial"/>
          <w:sz w:val="20"/>
          <w:szCs w:val="20"/>
          <w:lang w:val="es-MX"/>
        </w:rPr>
        <w:t xml:space="preserve"> ante usted el siguiente Proyecto de Acuerdo</w:t>
      </w:r>
      <w:r w:rsidRPr="00D9699B">
        <w:rPr>
          <w:rFonts w:ascii="Arial" w:eastAsia="Arial" w:hAnsi="Arial" w:cs="Arial"/>
          <w:b/>
          <w:bCs/>
          <w:i/>
          <w:iCs/>
          <w:sz w:val="20"/>
          <w:szCs w:val="20"/>
          <w:lang w:val="es-ES"/>
        </w:rPr>
        <w:t xml:space="preserve"> </w:t>
      </w:r>
      <w:r w:rsidRPr="00D9699B">
        <w:rPr>
          <w:rFonts w:ascii="Arial" w:eastAsia="Arial" w:hAnsi="Arial" w:cs="Arial"/>
          <w:b/>
          <w:sz w:val="20"/>
          <w:szCs w:val="20"/>
          <w:lang w:val="es-ES"/>
        </w:rPr>
        <w:t xml:space="preserve">“Por medio del cual se </w:t>
      </w:r>
      <w:r w:rsidR="005C772E" w:rsidRPr="00D9699B">
        <w:rPr>
          <w:rFonts w:ascii="Arial" w:eastAsia="Arial" w:hAnsi="Arial" w:cs="Arial"/>
          <w:b/>
          <w:sz w:val="20"/>
          <w:szCs w:val="20"/>
          <w:lang w:val="es-ES"/>
        </w:rPr>
        <w:t>establecen medidas</w:t>
      </w:r>
      <w:r w:rsidR="00561AA0" w:rsidRPr="00D9699B">
        <w:rPr>
          <w:rFonts w:ascii="Arial" w:eastAsia="Arial" w:hAnsi="Arial" w:cs="Arial"/>
          <w:b/>
          <w:sz w:val="20"/>
          <w:szCs w:val="20"/>
        </w:rPr>
        <w:t xml:space="preserve"> para el saneamiento de obligaciones por pagar en los Fondos de Desarrollo Local del Distrito Capital y el Fondo de Desarrollo Rural de Sumapaz</w:t>
      </w:r>
      <w:r w:rsidRPr="00D9699B">
        <w:rPr>
          <w:rFonts w:ascii="Arial" w:eastAsia="Arial" w:hAnsi="Arial" w:cs="Arial"/>
          <w:b/>
          <w:sz w:val="20"/>
          <w:szCs w:val="20"/>
          <w:lang w:val="es-ES"/>
        </w:rPr>
        <w:t>”</w:t>
      </w:r>
    </w:p>
    <w:p w14:paraId="76842F9F" w14:textId="77777777" w:rsidR="0063702A" w:rsidRPr="00D9699B" w:rsidRDefault="0063702A" w:rsidP="0063702A">
      <w:pPr>
        <w:rPr>
          <w:rFonts w:ascii="Arial" w:eastAsia="Arial" w:hAnsi="Arial" w:cs="Arial"/>
          <w:sz w:val="20"/>
          <w:szCs w:val="20"/>
          <w:lang w:val="es-ES"/>
        </w:rPr>
      </w:pPr>
    </w:p>
    <w:p w14:paraId="4823D20F" w14:textId="701D7F6A" w:rsidR="0063702A" w:rsidRPr="00D9699B" w:rsidRDefault="0063702A" w:rsidP="0063702A">
      <w:pPr>
        <w:rPr>
          <w:rFonts w:ascii="Arial" w:eastAsia="Arial" w:hAnsi="Arial" w:cs="Arial"/>
          <w:sz w:val="20"/>
          <w:szCs w:val="20"/>
          <w:lang w:val="es-MX"/>
        </w:rPr>
      </w:pPr>
      <w:r w:rsidRPr="00D9699B">
        <w:rPr>
          <w:rFonts w:ascii="Arial" w:eastAsia="Arial" w:hAnsi="Arial" w:cs="Arial"/>
          <w:sz w:val="20"/>
          <w:szCs w:val="20"/>
          <w:lang w:val="es-MX"/>
        </w:rPr>
        <w:t xml:space="preserve">Agradeciendo de antemano su atención, </w:t>
      </w:r>
    </w:p>
    <w:p w14:paraId="1472BF3B" w14:textId="75FBE33D" w:rsidR="00D9699B" w:rsidRDefault="00D9699B" w:rsidP="0063702A">
      <w:pPr>
        <w:rPr>
          <w:rFonts w:ascii="Arial" w:eastAsia="Arial" w:hAnsi="Arial" w:cs="Arial"/>
          <w:sz w:val="20"/>
          <w:szCs w:val="20"/>
          <w:lang w:val="es-MX"/>
        </w:rPr>
      </w:pPr>
    </w:p>
    <w:p w14:paraId="2C84794B" w14:textId="7E0F751E" w:rsidR="00415C39" w:rsidRPr="00D9699B" w:rsidRDefault="00415C39" w:rsidP="0063702A">
      <w:pPr>
        <w:rPr>
          <w:rFonts w:ascii="Arial" w:eastAsia="Arial" w:hAnsi="Arial" w:cs="Arial"/>
          <w:sz w:val="20"/>
          <w:szCs w:val="20"/>
          <w:lang w:val="es-MX"/>
        </w:rPr>
      </w:pPr>
    </w:p>
    <w:p w14:paraId="213E677D" w14:textId="01C5102A" w:rsidR="0063702A" w:rsidRPr="00D9699B" w:rsidRDefault="0063702A" w:rsidP="0063702A">
      <w:pPr>
        <w:rPr>
          <w:rFonts w:ascii="Arial" w:eastAsia="Arial" w:hAnsi="Arial" w:cs="Arial"/>
          <w:sz w:val="20"/>
          <w:szCs w:val="20"/>
          <w:lang w:val="es-MX"/>
        </w:rPr>
      </w:pPr>
    </w:p>
    <w:p w14:paraId="55770084" w14:textId="05D9C87B" w:rsidR="00415C39" w:rsidRPr="00415C39" w:rsidRDefault="00415C39" w:rsidP="00415C39">
      <w:pPr>
        <w:widowControl w:val="0"/>
        <w:tabs>
          <w:tab w:val="left" w:pos="4966"/>
        </w:tabs>
        <w:autoSpaceDE w:val="0"/>
        <w:autoSpaceDN w:val="0"/>
        <w:ind w:left="2"/>
        <w:outlineLvl w:val="0"/>
        <w:rPr>
          <w:rFonts w:ascii="Arial" w:eastAsia="Arial" w:hAnsi="Arial" w:cs="Arial"/>
          <w:b/>
          <w:bCs/>
          <w:sz w:val="20"/>
          <w:szCs w:val="20"/>
          <w:lang w:val="es-ES" w:eastAsia="en-US"/>
        </w:rPr>
      </w:pPr>
      <w:r w:rsidRPr="00415C39">
        <w:rPr>
          <w:rFonts w:ascii="Arial" w:eastAsia="Arial" w:hAnsi="Arial" w:cs="Arial"/>
          <w:b/>
          <w:bCs/>
          <w:sz w:val="20"/>
          <w:szCs w:val="20"/>
          <w:lang w:val="es-ES" w:eastAsia="en-US"/>
        </w:rPr>
        <w:t>DAVID</w:t>
      </w:r>
      <w:r w:rsidRPr="00415C39">
        <w:rPr>
          <w:rFonts w:ascii="Arial" w:eastAsia="Arial" w:hAnsi="Arial" w:cs="Arial"/>
          <w:b/>
          <w:bCs/>
          <w:spacing w:val="-8"/>
          <w:sz w:val="20"/>
          <w:szCs w:val="20"/>
          <w:lang w:val="es-ES" w:eastAsia="en-US"/>
        </w:rPr>
        <w:t xml:space="preserve"> </w:t>
      </w:r>
      <w:r w:rsidRPr="00415C39">
        <w:rPr>
          <w:rFonts w:ascii="Arial" w:eastAsia="Arial" w:hAnsi="Arial" w:cs="Arial"/>
          <w:b/>
          <w:bCs/>
          <w:sz w:val="20"/>
          <w:szCs w:val="20"/>
          <w:lang w:val="es-ES" w:eastAsia="en-US"/>
        </w:rPr>
        <w:t>HERNANDO</w:t>
      </w:r>
      <w:r w:rsidRPr="00415C39">
        <w:rPr>
          <w:rFonts w:ascii="Arial" w:eastAsia="Arial" w:hAnsi="Arial" w:cs="Arial"/>
          <w:b/>
          <w:bCs/>
          <w:spacing w:val="-5"/>
          <w:sz w:val="20"/>
          <w:szCs w:val="20"/>
          <w:lang w:val="es-ES" w:eastAsia="en-US"/>
        </w:rPr>
        <w:t xml:space="preserve"> </w:t>
      </w:r>
      <w:r w:rsidRPr="00415C39">
        <w:rPr>
          <w:rFonts w:ascii="Arial" w:eastAsia="Arial" w:hAnsi="Arial" w:cs="Arial"/>
          <w:b/>
          <w:bCs/>
          <w:sz w:val="20"/>
          <w:szCs w:val="20"/>
          <w:lang w:val="es-ES" w:eastAsia="en-US"/>
        </w:rPr>
        <w:t>SAAVEDRA</w:t>
      </w:r>
      <w:r w:rsidRPr="00415C39">
        <w:rPr>
          <w:rFonts w:ascii="Arial" w:eastAsia="Arial" w:hAnsi="Arial" w:cs="Arial"/>
          <w:b/>
          <w:bCs/>
          <w:spacing w:val="-11"/>
          <w:sz w:val="20"/>
          <w:szCs w:val="20"/>
          <w:lang w:val="es-ES" w:eastAsia="en-US"/>
        </w:rPr>
        <w:t xml:space="preserve"> </w:t>
      </w:r>
      <w:r w:rsidRPr="00415C39">
        <w:rPr>
          <w:rFonts w:ascii="Arial" w:eastAsia="Arial" w:hAnsi="Arial" w:cs="Arial"/>
          <w:b/>
          <w:bCs/>
          <w:spacing w:val="-2"/>
          <w:sz w:val="20"/>
          <w:szCs w:val="20"/>
          <w:lang w:val="es-ES" w:eastAsia="en-US"/>
        </w:rPr>
        <w:t>MURCIA</w:t>
      </w:r>
      <w:r w:rsidRPr="00415C39">
        <w:rPr>
          <w:rFonts w:ascii="Arial" w:eastAsia="Arial" w:hAnsi="Arial" w:cs="Arial"/>
          <w:b/>
          <w:bCs/>
          <w:sz w:val="20"/>
          <w:szCs w:val="20"/>
          <w:lang w:val="es-ES" w:eastAsia="en-US"/>
        </w:rPr>
        <w:tab/>
        <w:t>CRISTINA</w:t>
      </w:r>
      <w:r w:rsidRPr="00415C39">
        <w:rPr>
          <w:rFonts w:ascii="Arial" w:eastAsia="Arial" w:hAnsi="Arial" w:cs="Arial"/>
          <w:b/>
          <w:bCs/>
          <w:spacing w:val="-14"/>
          <w:sz w:val="20"/>
          <w:szCs w:val="20"/>
          <w:lang w:val="es-ES" w:eastAsia="en-US"/>
        </w:rPr>
        <w:t xml:space="preserve"> </w:t>
      </w:r>
      <w:r w:rsidRPr="00415C39">
        <w:rPr>
          <w:rFonts w:ascii="Arial" w:eastAsia="Arial" w:hAnsi="Arial" w:cs="Arial"/>
          <w:b/>
          <w:bCs/>
          <w:sz w:val="20"/>
          <w:szCs w:val="20"/>
          <w:lang w:val="es-ES" w:eastAsia="en-US"/>
        </w:rPr>
        <w:t>CALDERÓN</w:t>
      </w:r>
      <w:r w:rsidRPr="00415C39">
        <w:rPr>
          <w:rFonts w:ascii="Arial" w:eastAsia="Arial" w:hAnsi="Arial" w:cs="Arial"/>
          <w:b/>
          <w:bCs/>
          <w:spacing w:val="-6"/>
          <w:sz w:val="20"/>
          <w:szCs w:val="20"/>
          <w:lang w:val="es-ES" w:eastAsia="en-US"/>
        </w:rPr>
        <w:t xml:space="preserve"> </w:t>
      </w:r>
      <w:r w:rsidRPr="00415C39">
        <w:rPr>
          <w:rFonts w:ascii="Arial" w:eastAsia="Arial" w:hAnsi="Arial" w:cs="Arial"/>
          <w:b/>
          <w:bCs/>
          <w:spacing w:val="-2"/>
          <w:sz w:val="20"/>
          <w:szCs w:val="20"/>
          <w:lang w:val="es-ES" w:eastAsia="en-US"/>
        </w:rPr>
        <w:t>RESTREPO</w:t>
      </w:r>
    </w:p>
    <w:p w14:paraId="515BB712" w14:textId="3343A78F" w:rsidR="00415C39" w:rsidRPr="00415C39" w:rsidRDefault="00415C39" w:rsidP="00415C39">
      <w:pPr>
        <w:widowControl w:val="0"/>
        <w:tabs>
          <w:tab w:val="left" w:pos="4966"/>
        </w:tabs>
        <w:autoSpaceDE w:val="0"/>
        <w:autoSpaceDN w:val="0"/>
        <w:spacing w:before="6"/>
        <w:rPr>
          <w:rFonts w:ascii="Arial MT" w:eastAsia="Arial MT" w:hAnsi="Arial MT" w:cs="Arial MT"/>
          <w:sz w:val="20"/>
          <w:szCs w:val="20"/>
          <w:lang w:val="es-ES" w:eastAsia="en-US"/>
        </w:rPr>
      </w:pPr>
      <w:r w:rsidRPr="00415C39">
        <w:rPr>
          <w:rFonts w:ascii="Arial MT" w:eastAsia="Arial MT" w:hAnsi="Arial MT" w:cs="Arial MT"/>
          <w:sz w:val="20"/>
          <w:szCs w:val="20"/>
          <w:lang w:val="es-ES" w:eastAsia="en-US"/>
        </w:rPr>
        <w:t>Concejal</w:t>
      </w:r>
      <w:r w:rsidRPr="00415C39">
        <w:rPr>
          <w:rFonts w:ascii="Arial MT" w:eastAsia="Arial MT" w:hAnsi="Arial MT" w:cs="Arial MT"/>
          <w:spacing w:val="-5"/>
          <w:sz w:val="20"/>
          <w:szCs w:val="20"/>
          <w:lang w:val="es-ES" w:eastAsia="en-US"/>
        </w:rPr>
        <w:t xml:space="preserve"> </w:t>
      </w:r>
      <w:r w:rsidRPr="00415C39">
        <w:rPr>
          <w:rFonts w:ascii="Arial MT" w:eastAsia="Arial MT" w:hAnsi="Arial MT" w:cs="Arial MT"/>
          <w:sz w:val="20"/>
          <w:szCs w:val="20"/>
          <w:lang w:val="es-ES" w:eastAsia="en-US"/>
        </w:rPr>
        <w:t>de</w:t>
      </w:r>
      <w:r w:rsidRPr="00415C39">
        <w:rPr>
          <w:rFonts w:ascii="Arial MT" w:eastAsia="Arial MT" w:hAnsi="Arial MT" w:cs="Arial MT"/>
          <w:spacing w:val="-4"/>
          <w:sz w:val="20"/>
          <w:szCs w:val="20"/>
          <w:lang w:val="es-ES" w:eastAsia="en-US"/>
        </w:rPr>
        <w:t xml:space="preserve"> </w:t>
      </w:r>
      <w:r w:rsidRPr="00415C39">
        <w:rPr>
          <w:rFonts w:ascii="Arial MT" w:eastAsia="Arial MT" w:hAnsi="Arial MT" w:cs="Arial MT"/>
          <w:spacing w:val="-2"/>
          <w:sz w:val="20"/>
          <w:szCs w:val="20"/>
          <w:lang w:val="es-ES" w:eastAsia="en-US"/>
        </w:rPr>
        <w:t>Bogotá</w:t>
      </w:r>
      <w:r w:rsidRPr="00415C39">
        <w:rPr>
          <w:rFonts w:ascii="Arial MT" w:eastAsia="Arial MT" w:hAnsi="Arial MT" w:cs="Arial MT"/>
          <w:sz w:val="20"/>
          <w:szCs w:val="20"/>
          <w:lang w:val="es-ES" w:eastAsia="en-US"/>
        </w:rPr>
        <w:tab/>
        <w:t>Concejala</w:t>
      </w:r>
      <w:r w:rsidRPr="00415C39">
        <w:rPr>
          <w:rFonts w:ascii="Arial MT" w:eastAsia="Arial MT" w:hAnsi="Arial MT" w:cs="Arial MT"/>
          <w:spacing w:val="-7"/>
          <w:sz w:val="20"/>
          <w:szCs w:val="20"/>
          <w:lang w:val="es-ES" w:eastAsia="en-US"/>
        </w:rPr>
        <w:t xml:space="preserve"> </w:t>
      </w:r>
      <w:r w:rsidRPr="00415C39">
        <w:rPr>
          <w:rFonts w:ascii="Arial MT" w:eastAsia="Arial MT" w:hAnsi="Arial MT" w:cs="Arial MT"/>
          <w:sz w:val="20"/>
          <w:szCs w:val="20"/>
          <w:lang w:val="es-ES" w:eastAsia="en-US"/>
        </w:rPr>
        <w:t>de</w:t>
      </w:r>
      <w:r w:rsidRPr="00415C39">
        <w:rPr>
          <w:rFonts w:ascii="Arial MT" w:eastAsia="Arial MT" w:hAnsi="Arial MT" w:cs="Arial MT"/>
          <w:spacing w:val="-4"/>
          <w:sz w:val="20"/>
          <w:szCs w:val="20"/>
          <w:lang w:val="es-ES" w:eastAsia="en-US"/>
        </w:rPr>
        <w:t xml:space="preserve"> </w:t>
      </w:r>
      <w:r w:rsidRPr="00415C39">
        <w:rPr>
          <w:rFonts w:ascii="Arial MT" w:eastAsia="Arial MT" w:hAnsi="Arial MT" w:cs="Arial MT"/>
          <w:spacing w:val="-2"/>
          <w:sz w:val="20"/>
          <w:szCs w:val="20"/>
          <w:lang w:val="es-ES" w:eastAsia="en-US"/>
        </w:rPr>
        <w:t>Bogotá</w:t>
      </w:r>
    </w:p>
    <w:p w14:paraId="468B15B0" w14:textId="2048B8D9" w:rsidR="00415C39" w:rsidRPr="00415C39" w:rsidRDefault="00415C39" w:rsidP="00415C39">
      <w:pPr>
        <w:widowControl w:val="0"/>
        <w:tabs>
          <w:tab w:val="left" w:pos="4966"/>
        </w:tabs>
        <w:autoSpaceDE w:val="0"/>
        <w:autoSpaceDN w:val="0"/>
        <w:spacing w:before="1"/>
        <w:ind w:left="2"/>
        <w:outlineLvl w:val="0"/>
        <w:rPr>
          <w:rFonts w:ascii="Arial MT" w:eastAsia="Arial MT" w:hAnsi="Arial MT" w:cs="Arial MT"/>
          <w:sz w:val="20"/>
          <w:szCs w:val="20"/>
          <w:lang w:val="es-ES" w:eastAsia="en-US"/>
        </w:rPr>
      </w:pPr>
      <w:r w:rsidRPr="00415C39">
        <w:rPr>
          <w:rFonts w:ascii="Arial MT" w:eastAsia="Arial MT" w:hAnsi="Arial MT" w:cs="Arial MT"/>
          <w:sz w:val="20"/>
          <w:szCs w:val="20"/>
          <w:lang w:val="es-ES" w:eastAsia="en-US"/>
        </w:rPr>
        <w:t xml:space="preserve">Autor                                                                        </w:t>
      </w:r>
      <w:r>
        <w:rPr>
          <w:rFonts w:ascii="Arial MT" w:eastAsia="Arial MT" w:hAnsi="Arial MT" w:cs="Arial MT"/>
          <w:sz w:val="20"/>
          <w:szCs w:val="20"/>
          <w:lang w:val="es-ES" w:eastAsia="en-US"/>
        </w:rPr>
        <w:t xml:space="preserve">        </w:t>
      </w:r>
      <w:r w:rsidRPr="00415C39">
        <w:rPr>
          <w:rFonts w:ascii="Arial MT" w:eastAsia="Arial MT" w:hAnsi="Arial MT" w:cs="Arial MT"/>
          <w:sz w:val="20"/>
          <w:szCs w:val="20"/>
          <w:lang w:val="es-ES" w:eastAsia="en-US"/>
        </w:rPr>
        <w:t xml:space="preserve"> </w:t>
      </w:r>
    </w:p>
    <w:p w14:paraId="674BCA1F" w14:textId="02A897EA" w:rsidR="00415C39" w:rsidRPr="00415C39" w:rsidRDefault="00415C39" w:rsidP="00415C39">
      <w:pPr>
        <w:widowControl w:val="0"/>
        <w:autoSpaceDE w:val="0"/>
        <w:autoSpaceDN w:val="0"/>
        <w:rPr>
          <w:rFonts w:ascii="Arial MT" w:eastAsia="Arial MT" w:hAnsi="Arial MT" w:cs="Arial MT"/>
          <w:sz w:val="20"/>
          <w:szCs w:val="20"/>
          <w:lang w:val="es-ES" w:eastAsia="en-US"/>
        </w:rPr>
      </w:pPr>
    </w:p>
    <w:p w14:paraId="0A57F627" w14:textId="683203A8" w:rsidR="00415C39" w:rsidRDefault="00415C39" w:rsidP="00415C39">
      <w:pPr>
        <w:widowControl w:val="0"/>
        <w:autoSpaceDE w:val="0"/>
        <w:autoSpaceDN w:val="0"/>
        <w:spacing w:before="21"/>
        <w:rPr>
          <w:rFonts w:ascii="Arial MT" w:eastAsia="Arial MT" w:hAnsi="Arial MT" w:cs="Arial MT"/>
          <w:sz w:val="20"/>
          <w:szCs w:val="20"/>
          <w:lang w:val="es-ES" w:eastAsia="en-US"/>
        </w:rPr>
      </w:pPr>
    </w:p>
    <w:p w14:paraId="4DB85AEC" w14:textId="30B9C7A2" w:rsidR="00415C39" w:rsidRPr="00415C39" w:rsidRDefault="00415C39" w:rsidP="00415C39">
      <w:pPr>
        <w:widowControl w:val="0"/>
        <w:autoSpaceDE w:val="0"/>
        <w:autoSpaceDN w:val="0"/>
        <w:spacing w:before="21"/>
        <w:rPr>
          <w:rFonts w:ascii="Arial MT" w:eastAsia="Arial MT" w:hAnsi="Arial MT" w:cs="Arial MT"/>
          <w:sz w:val="20"/>
          <w:szCs w:val="20"/>
          <w:lang w:val="es-ES" w:eastAsia="en-US"/>
        </w:rPr>
      </w:pPr>
    </w:p>
    <w:p w14:paraId="6B8AFF39" w14:textId="64972C0F" w:rsidR="00415C39" w:rsidRPr="00415C39" w:rsidRDefault="00415C39" w:rsidP="00415C39">
      <w:pPr>
        <w:widowControl w:val="0"/>
        <w:tabs>
          <w:tab w:val="left" w:pos="4966"/>
        </w:tabs>
        <w:autoSpaceDE w:val="0"/>
        <w:autoSpaceDN w:val="0"/>
        <w:spacing w:before="1"/>
        <w:ind w:left="2"/>
        <w:outlineLvl w:val="0"/>
        <w:rPr>
          <w:rFonts w:ascii="Arial" w:eastAsia="Arial" w:hAnsi="Arial" w:cs="Arial"/>
          <w:b/>
          <w:bCs/>
          <w:sz w:val="20"/>
          <w:szCs w:val="20"/>
          <w:lang w:val="es-ES" w:eastAsia="en-US"/>
        </w:rPr>
      </w:pPr>
      <w:r w:rsidRPr="00415C39">
        <w:rPr>
          <w:rFonts w:ascii="Arial" w:eastAsia="Arial" w:hAnsi="Arial" w:cs="Arial"/>
          <w:b/>
          <w:bCs/>
          <w:sz w:val="20"/>
          <w:szCs w:val="20"/>
          <w:lang w:val="es-ES" w:eastAsia="en-US"/>
        </w:rPr>
        <w:t>JUAN</w:t>
      </w:r>
      <w:r w:rsidRPr="00415C39">
        <w:rPr>
          <w:rFonts w:ascii="Arial" w:eastAsia="Arial" w:hAnsi="Arial" w:cs="Arial"/>
          <w:b/>
          <w:bCs/>
          <w:spacing w:val="-5"/>
          <w:sz w:val="20"/>
          <w:szCs w:val="20"/>
          <w:lang w:val="es-ES" w:eastAsia="en-US"/>
        </w:rPr>
        <w:t xml:space="preserve"> </w:t>
      </w:r>
      <w:r w:rsidRPr="00415C39">
        <w:rPr>
          <w:rFonts w:ascii="Arial" w:eastAsia="Arial" w:hAnsi="Arial" w:cs="Arial"/>
          <w:b/>
          <w:bCs/>
          <w:sz w:val="20"/>
          <w:szCs w:val="20"/>
          <w:lang w:val="es-ES" w:eastAsia="en-US"/>
        </w:rPr>
        <w:t>MANUEL</w:t>
      </w:r>
      <w:r w:rsidRPr="00415C39">
        <w:rPr>
          <w:rFonts w:ascii="Arial" w:eastAsia="Arial" w:hAnsi="Arial" w:cs="Arial"/>
          <w:b/>
          <w:bCs/>
          <w:spacing w:val="-4"/>
          <w:sz w:val="20"/>
          <w:szCs w:val="20"/>
          <w:lang w:val="es-ES" w:eastAsia="en-US"/>
        </w:rPr>
        <w:t xml:space="preserve"> </w:t>
      </w:r>
      <w:r w:rsidRPr="00415C39">
        <w:rPr>
          <w:rFonts w:ascii="Arial" w:eastAsia="Arial" w:hAnsi="Arial" w:cs="Arial"/>
          <w:b/>
          <w:bCs/>
          <w:sz w:val="20"/>
          <w:szCs w:val="20"/>
          <w:lang w:val="es-ES" w:eastAsia="en-US"/>
        </w:rPr>
        <w:t>DÍAZ</w:t>
      </w:r>
      <w:r w:rsidRPr="00415C39">
        <w:rPr>
          <w:rFonts w:ascii="Arial" w:eastAsia="Arial" w:hAnsi="Arial" w:cs="Arial"/>
          <w:b/>
          <w:bCs/>
          <w:spacing w:val="-4"/>
          <w:sz w:val="20"/>
          <w:szCs w:val="20"/>
          <w:lang w:val="es-ES" w:eastAsia="en-US"/>
        </w:rPr>
        <w:t xml:space="preserve"> </w:t>
      </w:r>
      <w:r w:rsidRPr="00415C39">
        <w:rPr>
          <w:rFonts w:ascii="Arial" w:eastAsia="Arial" w:hAnsi="Arial" w:cs="Arial"/>
          <w:b/>
          <w:bCs/>
          <w:spacing w:val="-2"/>
          <w:sz w:val="20"/>
          <w:szCs w:val="20"/>
          <w:lang w:val="es-ES" w:eastAsia="en-US"/>
        </w:rPr>
        <w:t>MARTÍNEZ</w:t>
      </w:r>
      <w:r w:rsidRPr="00415C39">
        <w:rPr>
          <w:rFonts w:ascii="Arial" w:eastAsia="Arial" w:hAnsi="Arial" w:cs="Arial"/>
          <w:b/>
          <w:bCs/>
          <w:sz w:val="20"/>
          <w:szCs w:val="20"/>
          <w:lang w:val="es-ES" w:eastAsia="en-US"/>
        </w:rPr>
        <w:tab/>
        <w:t>JUAN</w:t>
      </w:r>
      <w:r w:rsidRPr="00415C39">
        <w:rPr>
          <w:rFonts w:ascii="Arial" w:eastAsia="Arial" w:hAnsi="Arial" w:cs="Arial"/>
          <w:b/>
          <w:bCs/>
          <w:spacing w:val="-6"/>
          <w:sz w:val="20"/>
          <w:szCs w:val="20"/>
          <w:lang w:val="es-ES" w:eastAsia="en-US"/>
        </w:rPr>
        <w:t xml:space="preserve"> </w:t>
      </w:r>
      <w:r w:rsidRPr="00415C39">
        <w:rPr>
          <w:rFonts w:ascii="Arial" w:eastAsia="Arial" w:hAnsi="Arial" w:cs="Arial"/>
          <w:b/>
          <w:bCs/>
          <w:sz w:val="20"/>
          <w:szCs w:val="20"/>
          <w:lang w:val="es-ES" w:eastAsia="en-US"/>
        </w:rPr>
        <w:t>JAVIER</w:t>
      </w:r>
      <w:r w:rsidRPr="00415C39">
        <w:rPr>
          <w:rFonts w:ascii="Arial" w:eastAsia="Arial" w:hAnsi="Arial" w:cs="Arial"/>
          <w:b/>
          <w:bCs/>
          <w:spacing w:val="-4"/>
          <w:sz w:val="20"/>
          <w:szCs w:val="20"/>
          <w:lang w:val="es-ES" w:eastAsia="en-US"/>
        </w:rPr>
        <w:t xml:space="preserve"> </w:t>
      </w:r>
      <w:r w:rsidRPr="00415C39">
        <w:rPr>
          <w:rFonts w:ascii="Arial" w:eastAsia="Arial" w:hAnsi="Arial" w:cs="Arial"/>
          <w:b/>
          <w:bCs/>
          <w:sz w:val="20"/>
          <w:szCs w:val="20"/>
          <w:lang w:val="es-ES" w:eastAsia="en-US"/>
        </w:rPr>
        <w:t>BAENA</w:t>
      </w:r>
      <w:r w:rsidRPr="00415C39">
        <w:rPr>
          <w:rFonts w:ascii="Arial" w:eastAsia="Arial" w:hAnsi="Arial" w:cs="Arial"/>
          <w:b/>
          <w:bCs/>
          <w:spacing w:val="-6"/>
          <w:sz w:val="20"/>
          <w:szCs w:val="20"/>
          <w:lang w:val="es-ES" w:eastAsia="en-US"/>
        </w:rPr>
        <w:t xml:space="preserve"> </w:t>
      </w:r>
      <w:r w:rsidRPr="00415C39">
        <w:rPr>
          <w:rFonts w:ascii="Arial" w:eastAsia="Arial" w:hAnsi="Arial" w:cs="Arial"/>
          <w:b/>
          <w:bCs/>
          <w:spacing w:val="-2"/>
          <w:sz w:val="20"/>
          <w:szCs w:val="20"/>
          <w:lang w:val="es-ES" w:eastAsia="en-US"/>
        </w:rPr>
        <w:t>MERLANO</w:t>
      </w:r>
      <w:r w:rsidRPr="00415C39">
        <w:rPr>
          <w:rFonts w:ascii="Arial MT" w:eastAsia="Arial MT" w:hAnsi="Arial MT" w:cs="Arial MT"/>
          <w:sz w:val="20"/>
          <w:szCs w:val="20"/>
          <w:lang w:val="es-ES" w:eastAsia="en-US"/>
        </w:rPr>
        <w:t xml:space="preserve">                                                                  </w:t>
      </w:r>
    </w:p>
    <w:p w14:paraId="4E6E0B5E" w14:textId="0DD05887" w:rsidR="00415C39" w:rsidRPr="00415C39" w:rsidRDefault="00415C39" w:rsidP="00415C39">
      <w:pPr>
        <w:widowControl w:val="0"/>
        <w:tabs>
          <w:tab w:val="left" w:pos="4966"/>
        </w:tabs>
        <w:autoSpaceDE w:val="0"/>
        <w:autoSpaceDN w:val="0"/>
        <w:ind w:left="2"/>
        <w:outlineLvl w:val="0"/>
        <w:rPr>
          <w:rFonts w:ascii="Arial MT" w:eastAsia="Arial MT" w:hAnsi="Arial MT" w:cs="Arial MT"/>
          <w:sz w:val="20"/>
          <w:szCs w:val="20"/>
          <w:lang w:val="es-ES" w:eastAsia="en-US"/>
        </w:rPr>
      </w:pPr>
      <w:r w:rsidRPr="00415C39">
        <w:rPr>
          <w:rFonts w:ascii="Arial MT" w:eastAsia="Arial MT" w:hAnsi="Arial MT" w:cs="Arial MT"/>
          <w:sz w:val="20"/>
          <w:szCs w:val="20"/>
          <w:lang w:val="es-ES" w:eastAsia="en-US"/>
        </w:rPr>
        <w:t>Concejal</w:t>
      </w:r>
      <w:r w:rsidRPr="00415C39">
        <w:rPr>
          <w:rFonts w:ascii="Arial MT" w:eastAsia="Arial MT" w:hAnsi="Arial MT" w:cs="Arial MT"/>
          <w:spacing w:val="-5"/>
          <w:sz w:val="20"/>
          <w:szCs w:val="20"/>
          <w:lang w:val="es-ES" w:eastAsia="en-US"/>
        </w:rPr>
        <w:t xml:space="preserve"> </w:t>
      </w:r>
      <w:r w:rsidRPr="00415C39">
        <w:rPr>
          <w:rFonts w:ascii="Arial MT" w:eastAsia="Arial MT" w:hAnsi="Arial MT" w:cs="Arial MT"/>
          <w:sz w:val="20"/>
          <w:szCs w:val="20"/>
          <w:lang w:val="es-ES" w:eastAsia="en-US"/>
        </w:rPr>
        <w:t>de</w:t>
      </w:r>
      <w:r w:rsidRPr="00415C39">
        <w:rPr>
          <w:rFonts w:ascii="Arial MT" w:eastAsia="Arial MT" w:hAnsi="Arial MT" w:cs="Arial MT"/>
          <w:spacing w:val="-4"/>
          <w:sz w:val="20"/>
          <w:szCs w:val="20"/>
          <w:lang w:val="es-ES" w:eastAsia="en-US"/>
        </w:rPr>
        <w:t xml:space="preserve"> </w:t>
      </w:r>
      <w:r w:rsidRPr="00415C39">
        <w:rPr>
          <w:rFonts w:ascii="Arial MT" w:eastAsia="Arial MT" w:hAnsi="Arial MT" w:cs="Arial MT"/>
          <w:spacing w:val="-2"/>
          <w:sz w:val="20"/>
          <w:szCs w:val="20"/>
          <w:lang w:val="es-ES" w:eastAsia="en-US"/>
        </w:rPr>
        <w:t>Bogotá</w:t>
      </w:r>
      <w:r w:rsidRPr="00415C39">
        <w:rPr>
          <w:rFonts w:ascii="Arial MT" w:eastAsia="Arial MT" w:hAnsi="Arial MT" w:cs="Arial MT"/>
          <w:sz w:val="20"/>
          <w:szCs w:val="20"/>
          <w:lang w:val="es-ES" w:eastAsia="en-US"/>
        </w:rPr>
        <w:tab/>
        <w:t>Concejal</w:t>
      </w:r>
      <w:r w:rsidRPr="00415C39">
        <w:rPr>
          <w:rFonts w:ascii="Arial MT" w:eastAsia="Arial MT" w:hAnsi="Arial MT" w:cs="Arial MT"/>
          <w:spacing w:val="-7"/>
          <w:sz w:val="20"/>
          <w:szCs w:val="20"/>
          <w:lang w:val="es-ES" w:eastAsia="en-US"/>
        </w:rPr>
        <w:t xml:space="preserve"> </w:t>
      </w:r>
      <w:r w:rsidRPr="00415C39">
        <w:rPr>
          <w:rFonts w:ascii="Arial MT" w:eastAsia="Arial MT" w:hAnsi="Arial MT" w:cs="Arial MT"/>
          <w:sz w:val="20"/>
          <w:szCs w:val="20"/>
          <w:lang w:val="es-ES" w:eastAsia="en-US"/>
        </w:rPr>
        <w:t>de</w:t>
      </w:r>
      <w:r w:rsidRPr="00415C39">
        <w:rPr>
          <w:rFonts w:ascii="Arial MT" w:eastAsia="Arial MT" w:hAnsi="Arial MT" w:cs="Arial MT"/>
          <w:spacing w:val="-4"/>
          <w:sz w:val="20"/>
          <w:szCs w:val="20"/>
          <w:lang w:val="es-ES" w:eastAsia="en-US"/>
        </w:rPr>
        <w:t xml:space="preserve"> </w:t>
      </w:r>
      <w:r w:rsidRPr="00415C39">
        <w:rPr>
          <w:rFonts w:ascii="Arial MT" w:eastAsia="Arial MT" w:hAnsi="Arial MT" w:cs="Arial MT"/>
          <w:spacing w:val="-2"/>
          <w:sz w:val="20"/>
          <w:szCs w:val="20"/>
          <w:lang w:val="es-ES" w:eastAsia="en-US"/>
        </w:rPr>
        <w:t>Bogotá</w:t>
      </w:r>
    </w:p>
    <w:p w14:paraId="6EB6F115" w14:textId="55F1114E" w:rsidR="00415C39" w:rsidRPr="00415C39" w:rsidRDefault="00415C39" w:rsidP="00415C39">
      <w:pPr>
        <w:widowControl w:val="0"/>
        <w:autoSpaceDE w:val="0"/>
        <w:autoSpaceDN w:val="0"/>
        <w:rPr>
          <w:rFonts w:ascii="Arial MT" w:eastAsia="Arial MT" w:hAnsi="Arial MT" w:cs="Arial MT"/>
          <w:sz w:val="20"/>
          <w:szCs w:val="20"/>
          <w:lang w:val="es-ES" w:eastAsia="en-US"/>
        </w:rPr>
      </w:pPr>
    </w:p>
    <w:p w14:paraId="7B4BADF5" w14:textId="08A28108" w:rsidR="00415C39" w:rsidRPr="00415C39" w:rsidRDefault="00415C39" w:rsidP="00415C39">
      <w:pPr>
        <w:widowControl w:val="0"/>
        <w:autoSpaceDE w:val="0"/>
        <w:autoSpaceDN w:val="0"/>
        <w:rPr>
          <w:rFonts w:ascii="Arial MT" w:eastAsia="Arial MT" w:hAnsi="Arial MT" w:cs="Arial MT"/>
          <w:sz w:val="20"/>
          <w:szCs w:val="20"/>
          <w:lang w:val="es-ES" w:eastAsia="en-US"/>
        </w:rPr>
      </w:pPr>
    </w:p>
    <w:p w14:paraId="215D8F9C" w14:textId="4E2AA865" w:rsidR="00415C39" w:rsidRPr="00415C39" w:rsidRDefault="00415C39" w:rsidP="00415C39">
      <w:pPr>
        <w:widowControl w:val="0"/>
        <w:autoSpaceDE w:val="0"/>
        <w:autoSpaceDN w:val="0"/>
        <w:spacing w:before="21"/>
        <w:rPr>
          <w:rFonts w:ascii="Arial MT" w:eastAsia="Arial MT" w:hAnsi="Arial MT" w:cs="Arial MT"/>
          <w:sz w:val="20"/>
          <w:szCs w:val="20"/>
          <w:lang w:val="es-ES" w:eastAsia="en-US"/>
        </w:rPr>
      </w:pPr>
    </w:p>
    <w:p w14:paraId="1D5B140A" w14:textId="4DDE6008" w:rsidR="00415C39" w:rsidRPr="00415C39" w:rsidRDefault="00415C39" w:rsidP="00415C39">
      <w:pPr>
        <w:widowControl w:val="0"/>
        <w:tabs>
          <w:tab w:val="left" w:pos="4966"/>
        </w:tabs>
        <w:autoSpaceDE w:val="0"/>
        <w:autoSpaceDN w:val="0"/>
        <w:ind w:left="2"/>
        <w:outlineLvl w:val="0"/>
        <w:rPr>
          <w:rFonts w:ascii="Arial" w:eastAsia="Arial" w:hAnsi="Arial" w:cs="Arial"/>
          <w:b/>
          <w:bCs/>
          <w:sz w:val="20"/>
          <w:szCs w:val="20"/>
          <w:lang w:val="es-ES" w:eastAsia="en-US"/>
        </w:rPr>
      </w:pPr>
      <w:r w:rsidRPr="00415C39">
        <w:rPr>
          <w:rFonts w:ascii="Arial" w:eastAsia="Arial" w:hAnsi="Arial" w:cs="Arial"/>
          <w:b/>
          <w:bCs/>
          <w:sz w:val="20"/>
          <w:szCs w:val="20"/>
          <w:lang w:val="es-ES" w:eastAsia="en-US"/>
        </w:rPr>
        <w:t>JESÚS</w:t>
      </w:r>
      <w:r w:rsidRPr="00415C39">
        <w:rPr>
          <w:rFonts w:ascii="Arial" w:eastAsia="Arial" w:hAnsi="Arial" w:cs="Arial"/>
          <w:b/>
          <w:bCs/>
          <w:spacing w:val="-6"/>
          <w:sz w:val="20"/>
          <w:szCs w:val="20"/>
          <w:lang w:val="es-ES" w:eastAsia="en-US"/>
        </w:rPr>
        <w:t xml:space="preserve"> </w:t>
      </w:r>
      <w:r w:rsidRPr="00415C39">
        <w:rPr>
          <w:rFonts w:ascii="Arial" w:eastAsia="Arial" w:hAnsi="Arial" w:cs="Arial"/>
          <w:b/>
          <w:bCs/>
          <w:sz w:val="20"/>
          <w:szCs w:val="20"/>
          <w:lang w:val="es-ES" w:eastAsia="en-US"/>
        </w:rPr>
        <w:t>DAVID</w:t>
      </w:r>
      <w:r w:rsidRPr="00415C39">
        <w:rPr>
          <w:rFonts w:ascii="Arial" w:eastAsia="Arial" w:hAnsi="Arial" w:cs="Arial"/>
          <w:b/>
          <w:bCs/>
          <w:spacing w:val="-4"/>
          <w:sz w:val="20"/>
          <w:szCs w:val="20"/>
          <w:lang w:val="es-ES" w:eastAsia="en-US"/>
        </w:rPr>
        <w:t xml:space="preserve"> </w:t>
      </w:r>
      <w:r w:rsidRPr="00415C39">
        <w:rPr>
          <w:rFonts w:ascii="Arial" w:eastAsia="Arial" w:hAnsi="Arial" w:cs="Arial"/>
          <w:b/>
          <w:bCs/>
          <w:sz w:val="20"/>
          <w:szCs w:val="20"/>
          <w:lang w:val="es-ES" w:eastAsia="en-US"/>
        </w:rPr>
        <w:t>ARAQUE</w:t>
      </w:r>
      <w:r w:rsidRPr="00415C39">
        <w:rPr>
          <w:rFonts w:ascii="Arial" w:eastAsia="Arial" w:hAnsi="Arial" w:cs="Arial"/>
          <w:b/>
          <w:bCs/>
          <w:spacing w:val="-5"/>
          <w:sz w:val="20"/>
          <w:szCs w:val="20"/>
          <w:lang w:val="es-ES" w:eastAsia="en-US"/>
        </w:rPr>
        <w:t xml:space="preserve"> </w:t>
      </w:r>
      <w:r w:rsidRPr="00415C39">
        <w:rPr>
          <w:rFonts w:ascii="Arial" w:eastAsia="Arial" w:hAnsi="Arial" w:cs="Arial"/>
          <w:b/>
          <w:bCs/>
          <w:spacing w:val="-4"/>
          <w:sz w:val="20"/>
          <w:szCs w:val="20"/>
          <w:lang w:val="es-ES" w:eastAsia="en-US"/>
        </w:rPr>
        <w:t>MEJÍA</w:t>
      </w:r>
      <w:r w:rsidRPr="00415C39">
        <w:rPr>
          <w:rFonts w:ascii="Arial" w:eastAsia="Arial" w:hAnsi="Arial" w:cs="Arial"/>
          <w:b/>
          <w:bCs/>
          <w:sz w:val="20"/>
          <w:szCs w:val="20"/>
          <w:lang w:val="es-ES" w:eastAsia="en-US"/>
        </w:rPr>
        <w:tab/>
        <w:t>FERNANDO</w:t>
      </w:r>
      <w:r w:rsidRPr="00415C39">
        <w:rPr>
          <w:rFonts w:ascii="Arial" w:eastAsia="Arial" w:hAnsi="Arial" w:cs="Arial"/>
          <w:b/>
          <w:bCs/>
          <w:spacing w:val="-7"/>
          <w:sz w:val="20"/>
          <w:szCs w:val="20"/>
          <w:lang w:val="es-ES" w:eastAsia="en-US"/>
        </w:rPr>
        <w:t xml:space="preserve"> </w:t>
      </w:r>
      <w:r w:rsidRPr="00415C39">
        <w:rPr>
          <w:rFonts w:ascii="Arial" w:eastAsia="Arial" w:hAnsi="Arial" w:cs="Arial"/>
          <w:b/>
          <w:bCs/>
          <w:sz w:val="20"/>
          <w:szCs w:val="20"/>
          <w:lang w:val="es-ES" w:eastAsia="en-US"/>
        </w:rPr>
        <w:t>LÓPEZ</w:t>
      </w:r>
      <w:r w:rsidRPr="00415C39">
        <w:rPr>
          <w:rFonts w:ascii="Arial" w:eastAsia="Arial" w:hAnsi="Arial" w:cs="Arial"/>
          <w:b/>
          <w:bCs/>
          <w:spacing w:val="-8"/>
          <w:sz w:val="20"/>
          <w:szCs w:val="20"/>
          <w:lang w:val="es-ES" w:eastAsia="en-US"/>
        </w:rPr>
        <w:t xml:space="preserve"> </w:t>
      </w:r>
      <w:r w:rsidRPr="00415C39">
        <w:rPr>
          <w:rFonts w:ascii="Arial" w:eastAsia="Arial" w:hAnsi="Arial" w:cs="Arial"/>
          <w:b/>
          <w:bCs/>
          <w:spacing w:val="-2"/>
          <w:sz w:val="20"/>
          <w:szCs w:val="20"/>
          <w:lang w:val="es-ES" w:eastAsia="en-US"/>
        </w:rPr>
        <w:t>GUTIÉRREZ</w:t>
      </w:r>
    </w:p>
    <w:p w14:paraId="4A1C783B" w14:textId="41B54D9A" w:rsidR="00415C39" w:rsidRPr="00415C39" w:rsidRDefault="00415C39" w:rsidP="00415C39">
      <w:pPr>
        <w:widowControl w:val="0"/>
        <w:tabs>
          <w:tab w:val="left" w:pos="4966"/>
        </w:tabs>
        <w:autoSpaceDE w:val="0"/>
        <w:autoSpaceDN w:val="0"/>
        <w:spacing w:before="9"/>
        <w:ind w:left="2"/>
        <w:rPr>
          <w:rFonts w:ascii="Arial MT" w:eastAsia="Arial MT" w:hAnsi="Arial MT" w:cs="Arial MT"/>
          <w:sz w:val="20"/>
          <w:szCs w:val="20"/>
          <w:lang w:val="es-ES" w:eastAsia="en-US"/>
        </w:rPr>
      </w:pPr>
      <w:r w:rsidRPr="00415C39">
        <w:rPr>
          <w:rFonts w:ascii="Arial MT" w:eastAsia="Arial MT" w:hAnsi="Arial MT" w:cs="Arial MT"/>
          <w:sz w:val="20"/>
          <w:szCs w:val="20"/>
          <w:lang w:val="es-ES" w:eastAsia="en-US"/>
        </w:rPr>
        <w:t>Concejal</w:t>
      </w:r>
      <w:r w:rsidRPr="00415C39">
        <w:rPr>
          <w:rFonts w:ascii="Arial MT" w:eastAsia="Arial MT" w:hAnsi="Arial MT" w:cs="Arial MT"/>
          <w:spacing w:val="-5"/>
          <w:sz w:val="20"/>
          <w:szCs w:val="20"/>
          <w:lang w:val="es-ES" w:eastAsia="en-US"/>
        </w:rPr>
        <w:t xml:space="preserve"> </w:t>
      </w:r>
      <w:r w:rsidRPr="00415C39">
        <w:rPr>
          <w:rFonts w:ascii="Arial MT" w:eastAsia="Arial MT" w:hAnsi="Arial MT" w:cs="Arial MT"/>
          <w:sz w:val="20"/>
          <w:szCs w:val="20"/>
          <w:lang w:val="es-ES" w:eastAsia="en-US"/>
        </w:rPr>
        <w:t>de</w:t>
      </w:r>
      <w:r w:rsidRPr="00415C39">
        <w:rPr>
          <w:rFonts w:ascii="Arial MT" w:eastAsia="Arial MT" w:hAnsi="Arial MT" w:cs="Arial MT"/>
          <w:spacing w:val="-4"/>
          <w:sz w:val="20"/>
          <w:szCs w:val="20"/>
          <w:lang w:val="es-ES" w:eastAsia="en-US"/>
        </w:rPr>
        <w:t xml:space="preserve"> </w:t>
      </w:r>
      <w:r w:rsidRPr="00415C39">
        <w:rPr>
          <w:rFonts w:ascii="Arial MT" w:eastAsia="Arial MT" w:hAnsi="Arial MT" w:cs="Arial MT"/>
          <w:spacing w:val="-2"/>
          <w:sz w:val="20"/>
          <w:szCs w:val="20"/>
          <w:lang w:val="es-ES" w:eastAsia="en-US"/>
        </w:rPr>
        <w:t>Bogotá</w:t>
      </w:r>
      <w:r w:rsidRPr="00415C39">
        <w:rPr>
          <w:rFonts w:ascii="Arial MT" w:eastAsia="Arial MT" w:hAnsi="Arial MT" w:cs="Arial MT"/>
          <w:sz w:val="20"/>
          <w:szCs w:val="20"/>
          <w:lang w:val="es-ES" w:eastAsia="en-US"/>
        </w:rPr>
        <w:tab/>
        <w:t>Concejal</w:t>
      </w:r>
      <w:r w:rsidRPr="00415C39">
        <w:rPr>
          <w:rFonts w:ascii="Arial MT" w:eastAsia="Arial MT" w:hAnsi="Arial MT" w:cs="Arial MT"/>
          <w:spacing w:val="-7"/>
          <w:sz w:val="20"/>
          <w:szCs w:val="20"/>
          <w:lang w:val="es-ES" w:eastAsia="en-US"/>
        </w:rPr>
        <w:t xml:space="preserve"> </w:t>
      </w:r>
      <w:r w:rsidRPr="00415C39">
        <w:rPr>
          <w:rFonts w:ascii="Arial MT" w:eastAsia="Arial MT" w:hAnsi="Arial MT" w:cs="Arial MT"/>
          <w:sz w:val="20"/>
          <w:szCs w:val="20"/>
          <w:lang w:val="es-ES" w:eastAsia="en-US"/>
        </w:rPr>
        <w:t>de</w:t>
      </w:r>
      <w:r w:rsidRPr="00415C39">
        <w:rPr>
          <w:rFonts w:ascii="Arial MT" w:eastAsia="Arial MT" w:hAnsi="Arial MT" w:cs="Arial MT"/>
          <w:spacing w:val="-4"/>
          <w:sz w:val="20"/>
          <w:szCs w:val="20"/>
          <w:lang w:val="es-ES" w:eastAsia="en-US"/>
        </w:rPr>
        <w:t xml:space="preserve"> </w:t>
      </w:r>
      <w:r w:rsidRPr="00415C39">
        <w:rPr>
          <w:rFonts w:ascii="Arial MT" w:eastAsia="Arial MT" w:hAnsi="Arial MT" w:cs="Arial MT"/>
          <w:spacing w:val="-2"/>
          <w:sz w:val="20"/>
          <w:szCs w:val="20"/>
          <w:lang w:val="es-ES" w:eastAsia="en-US"/>
        </w:rPr>
        <w:t>Bogotá</w:t>
      </w:r>
    </w:p>
    <w:p w14:paraId="413D5CE7" w14:textId="0CE0EFBD" w:rsidR="00415C39" w:rsidRPr="00415C39" w:rsidRDefault="00415C39" w:rsidP="00415C39">
      <w:pPr>
        <w:widowControl w:val="0"/>
        <w:autoSpaceDE w:val="0"/>
        <w:autoSpaceDN w:val="0"/>
        <w:rPr>
          <w:rFonts w:ascii="Arial MT" w:eastAsia="Arial MT" w:hAnsi="Arial MT" w:cs="Arial MT"/>
          <w:sz w:val="20"/>
          <w:szCs w:val="20"/>
          <w:lang w:val="es-ES" w:eastAsia="en-US"/>
        </w:rPr>
      </w:pPr>
    </w:p>
    <w:p w14:paraId="6A21F237" w14:textId="2D270179" w:rsidR="00415C39" w:rsidRPr="00415C39" w:rsidRDefault="00415C39" w:rsidP="00415C39">
      <w:pPr>
        <w:widowControl w:val="0"/>
        <w:autoSpaceDE w:val="0"/>
        <w:autoSpaceDN w:val="0"/>
        <w:rPr>
          <w:rFonts w:ascii="Arial MT" w:eastAsia="Arial MT" w:hAnsi="Arial MT" w:cs="Arial MT"/>
          <w:sz w:val="20"/>
          <w:szCs w:val="20"/>
          <w:lang w:val="es-ES" w:eastAsia="en-US"/>
        </w:rPr>
      </w:pPr>
    </w:p>
    <w:p w14:paraId="33562231" w14:textId="775DB08E" w:rsidR="00415C39" w:rsidRPr="00415C39" w:rsidRDefault="00415C39" w:rsidP="00415C39">
      <w:pPr>
        <w:widowControl w:val="0"/>
        <w:autoSpaceDE w:val="0"/>
        <w:autoSpaceDN w:val="0"/>
        <w:spacing w:before="21"/>
        <w:rPr>
          <w:rFonts w:ascii="Arial MT" w:eastAsia="Arial MT" w:hAnsi="Arial MT" w:cs="Arial MT"/>
          <w:sz w:val="20"/>
          <w:szCs w:val="20"/>
          <w:lang w:val="es-ES" w:eastAsia="en-US"/>
        </w:rPr>
      </w:pPr>
    </w:p>
    <w:p w14:paraId="0A6A6F19" w14:textId="77777777" w:rsidR="00415C39" w:rsidRPr="00415C39" w:rsidRDefault="00415C39" w:rsidP="00415C39">
      <w:pPr>
        <w:widowControl w:val="0"/>
        <w:tabs>
          <w:tab w:val="left" w:pos="4966"/>
        </w:tabs>
        <w:autoSpaceDE w:val="0"/>
        <w:autoSpaceDN w:val="0"/>
        <w:ind w:left="2"/>
        <w:outlineLvl w:val="0"/>
        <w:rPr>
          <w:rFonts w:ascii="Arial" w:eastAsia="Arial" w:hAnsi="Arial" w:cs="Arial"/>
          <w:b/>
          <w:bCs/>
          <w:sz w:val="20"/>
          <w:szCs w:val="20"/>
          <w:lang w:val="es-ES" w:eastAsia="en-US"/>
        </w:rPr>
      </w:pPr>
      <w:r w:rsidRPr="00415C39">
        <w:rPr>
          <w:rFonts w:ascii="Arial" w:eastAsia="Arial" w:hAnsi="Arial" w:cs="Arial"/>
          <w:b/>
          <w:bCs/>
          <w:sz w:val="20"/>
          <w:szCs w:val="20"/>
          <w:lang w:val="es-ES" w:eastAsia="en-US"/>
        </w:rPr>
        <w:t>RICARDO</w:t>
      </w:r>
      <w:r w:rsidRPr="00415C39">
        <w:rPr>
          <w:rFonts w:ascii="Arial" w:eastAsia="Arial" w:hAnsi="Arial" w:cs="Arial"/>
          <w:b/>
          <w:bCs/>
          <w:spacing w:val="-5"/>
          <w:sz w:val="20"/>
          <w:szCs w:val="20"/>
          <w:lang w:val="es-ES" w:eastAsia="en-US"/>
        </w:rPr>
        <w:t xml:space="preserve"> </w:t>
      </w:r>
      <w:r w:rsidRPr="00415C39">
        <w:rPr>
          <w:rFonts w:ascii="Arial" w:eastAsia="Arial" w:hAnsi="Arial" w:cs="Arial"/>
          <w:b/>
          <w:bCs/>
          <w:sz w:val="20"/>
          <w:szCs w:val="20"/>
          <w:lang w:val="es-ES" w:eastAsia="en-US"/>
        </w:rPr>
        <w:t>ANDRÉS</w:t>
      </w:r>
      <w:r w:rsidRPr="00415C39">
        <w:rPr>
          <w:rFonts w:ascii="Arial" w:eastAsia="Arial" w:hAnsi="Arial" w:cs="Arial"/>
          <w:b/>
          <w:bCs/>
          <w:spacing w:val="-8"/>
          <w:sz w:val="20"/>
          <w:szCs w:val="20"/>
          <w:lang w:val="es-ES" w:eastAsia="en-US"/>
        </w:rPr>
        <w:t xml:space="preserve"> </w:t>
      </w:r>
      <w:r w:rsidRPr="00415C39">
        <w:rPr>
          <w:rFonts w:ascii="Arial" w:eastAsia="Arial" w:hAnsi="Arial" w:cs="Arial"/>
          <w:b/>
          <w:bCs/>
          <w:sz w:val="20"/>
          <w:szCs w:val="20"/>
          <w:lang w:val="es-ES" w:eastAsia="en-US"/>
        </w:rPr>
        <w:t>CORREA</w:t>
      </w:r>
      <w:r w:rsidRPr="00415C39">
        <w:rPr>
          <w:rFonts w:ascii="Arial" w:eastAsia="Arial" w:hAnsi="Arial" w:cs="Arial"/>
          <w:b/>
          <w:bCs/>
          <w:spacing w:val="-15"/>
          <w:sz w:val="20"/>
          <w:szCs w:val="20"/>
          <w:lang w:val="es-ES" w:eastAsia="en-US"/>
        </w:rPr>
        <w:t xml:space="preserve"> </w:t>
      </w:r>
      <w:r w:rsidRPr="00415C39">
        <w:rPr>
          <w:rFonts w:ascii="Arial" w:eastAsia="Arial" w:hAnsi="Arial" w:cs="Arial"/>
          <w:b/>
          <w:bCs/>
          <w:spacing w:val="-2"/>
          <w:sz w:val="20"/>
          <w:szCs w:val="20"/>
          <w:lang w:val="es-ES" w:eastAsia="en-US"/>
        </w:rPr>
        <w:t>MOJICA</w:t>
      </w:r>
      <w:r w:rsidRPr="00415C39">
        <w:rPr>
          <w:rFonts w:ascii="Arial" w:eastAsia="Arial" w:hAnsi="Arial" w:cs="Arial"/>
          <w:b/>
          <w:bCs/>
          <w:sz w:val="20"/>
          <w:szCs w:val="20"/>
          <w:lang w:val="es-ES" w:eastAsia="en-US"/>
        </w:rPr>
        <w:tab/>
        <w:t>JUAN</w:t>
      </w:r>
      <w:r w:rsidRPr="00415C39">
        <w:rPr>
          <w:rFonts w:ascii="Arial" w:eastAsia="Arial" w:hAnsi="Arial" w:cs="Arial"/>
          <w:b/>
          <w:bCs/>
          <w:spacing w:val="-7"/>
          <w:sz w:val="20"/>
          <w:szCs w:val="20"/>
          <w:lang w:val="es-ES" w:eastAsia="en-US"/>
        </w:rPr>
        <w:t xml:space="preserve"> </w:t>
      </w:r>
      <w:r w:rsidRPr="00415C39">
        <w:rPr>
          <w:rFonts w:ascii="Arial" w:eastAsia="Arial" w:hAnsi="Arial" w:cs="Arial"/>
          <w:b/>
          <w:bCs/>
          <w:sz w:val="20"/>
          <w:szCs w:val="20"/>
          <w:lang w:val="es-ES" w:eastAsia="en-US"/>
        </w:rPr>
        <w:t>DAVID</w:t>
      </w:r>
      <w:r w:rsidRPr="00415C39">
        <w:rPr>
          <w:rFonts w:ascii="Arial" w:eastAsia="Arial" w:hAnsi="Arial" w:cs="Arial"/>
          <w:b/>
          <w:bCs/>
          <w:spacing w:val="-5"/>
          <w:sz w:val="20"/>
          <w:szCs w:val="20"/>
          <w:lang w:val="es-ES" w:eastAsia="en-US"/>
        </w:rPr>
        <w:t xml:space="preserve"> </w:t>
      </w:r>
      <w:r w:rsidRPr="00415C39">
        <w:rPr>
          <w:rFonts w:ascii="Arial" w:eastAsia="Arial" w:hAnsi="Arial" w:cs="Arial"/>
          <w:b/>
          <w:bCs/>
          <w:spacing w:val="-2"/>
          <w:sz w:val="20"/>
          <w:szCs w:val="20"/>
          <w:lang w:val="es-ES" w:eastAsia="en-US"/>
        </w:rPr>
        <w:t>QUINTERO</w:t>
      </w:r>
    </w:p>
    <w:p w14:paraId="604D511B" w14:textId="51E0BF0F" w:rsidR="0063702A" w:rsidRPr="00415C39" w:rsidRDefault="00415C39" w:rsidP="00415C39">
      <w:pPr>
        <w:widowControl w:val="0"/>
        <w:tabs>
          <w:tab w:val="left" w:pos="4966"/>
        </w:tabs>
        <w:autoSpaceDE w:val="0"/>
        <w:autoSpaceDN w:val="0"/>
        <w:spacing w:before="7"/>
        <w:ind w:left="2"/>
        <w:rPr>
          <w:rFonts w:ascii="Arial MT" w:eastAsia="Arial MT" w:hAnsi="Arial MT" w:cs="Arial MT"/>
          <w:sz w:val="20"/>
          <w:szCs w:val="20"/>
          <w:lang w:val="es-ES" w:eastAsia="en-US"/>
        </w:rPr>
      </w:pPr>
      <w:r w:rsidRPr="00415C39">
        <w:rPr>
          <w:rFonts w:ascii="Arial MT" w:eastAsia="Arial MT" w:hAnsi="Arial MT" w:cs="Arial MT"/>
          <w:sz w:val="20"/>
          <w:szCs w:val="20"/>
          <w:lang w:val="es-ES" w:eastAsia="en-US"/>
        </w:rPr>
        <w:t>Concejal</w:t>
      </w:r>
      <w:r w:rsidRPr="00415C39">
        <w:rPr>
          <w:rFonts w:ascii="Arial MT" w:eastAsia="Arial MT" w:hAnsi="Arial MT" w:cs="Arial MT"/>
          <w:spacing w:val="-5"/>
          <w:sz w:val="20"/>
          <w:szCs w:val="20"/>
          <w:lang w:val="es-ES" w:eastAsia="en-US"/>
        </w:rPr>
        <w:t xml:space="preserve"> </w:t>
      </w:r>
      <w:r w:rsidRPr="00415C39">
        <w:rPr>
          <w:rFonts w:ascii="Arial MT" w:eastAsia="Arial MT" w:hAnsi="Arial MT" w:cs="Arial MT"/>
          <w:sz w:val="20"/>
          <w:szCs w:val="20"/>
          <w:lang w:val="es-ES" w:eastAsia="en-US"/>
        </w:rPr>
        <w:t>de</w:t>
      </w:r>
      <w:r w:rsidRPr="00415C39">
        <w:rPr>
          <w:rFonts w:ascii="Arial MT" w:eastAsia="Arial MT" w:hAnsi="Arial MT" w:cs="Arial MT"/>
          <w:spacing w:val="-4"/>
          <w:sz w:val="20"/>
          <w:szCs w:val="20"/>
          <w:lang w:val="es-ES" w:eastAsia="en-US"/>
        </w:rPr>
        <w:t xml:space="preserve"> </w:t>
      </w:r>
      <w:r w:rsidRPr="00415C39">
        <w:rPr>
          <w:rFonts w:ascii="Arial MT" w:eastAsia="Arial MT" w:hAnsi="Arial MT" w:cs="Arial MT"/>
          <w:spacing w:val="-2"/>
          <w:sz w:val="20"/>
          <w:szCs w:val="20"/>
          <w:lang w:val="es-ES" w:eastAsia="en-US"/>
        </w:rPr>
        <w:t>Bogotá</w:t>
      </w:r>
      <w:r w:rsidRPr="00415C39">
        <w:rPr>
          <w:rFonts w:ascii="Arial MT" w:eastAsia="Arial MT" w:hAnsi="Arial MT" w:cs="Arial MT"/>
          <w:sz w:val="20"/>
          <w:szCs w:val="20"/>
          <w:lang w:val="es-ES" w:eastAsia="en-US"/>
        </w:rPr>
        <w:tab/>
        <w:t>Concejal</w:t>
      </w:r>
      <w:r w:rsidRPr="00415C39">
        <w:rPr>
          <w:rFonts w:ascii="Arial MT" w:eastAsia="Arial MT" w:hAnsi="Arial MT" w:cs="Arial MT"/>
          <w:spacing w:val="-7"/>
          <w:sz w:val="20"/>
          <w:szCs w:val="20"/>
          <w:lang w:val="es-ES" w:eastAsia="en-US"/>
        </w:rPr>
        <w:t xml:space="preserve"> </w:t>
      </w:r>
      <w:r w:rsidRPr="00415C39">
        <w:rPr>
          <w:rFonts w:ascii="Arial MT" w:eastAsia="Arial MT" w:hAnsi="Arial MT" w:cs="Arial MT"/>
          <w:sz w:val="20"/>
          <w:szCs w:val="20"/>
          <w:lang w:val="es-ES" w:eastAsia="en-US"/>
        </w:rPr>
        <w:t>de</w:t>
      </w:r>
      <w:r w:rsidRPr="00415C39">
        <w:rPr>
          <w:rFonts w:ascii="Arial MT" w:eastAsia="Arial MT" w:hAnsi="Arial MT" w:cs="Arial MT"/>
          <w:spacing w:val="-4"/>
          <w:sz w:val="20"/>
          <w:szCs w:val="20"/>
          <w:lang w:val="es-ES" w:eastAsia="en-US"/>
        </w:rPr>
        <w:t xml:space="preserve"> </w:t>
      </w:r>
      <w:r>
        <w:rPr>
          <w:rFonts w:ascii="Arial MT" w:eastAsia="Arial MT" w:hAnsi="Arial MT" w:cs="Arial MT"/>
          <w:spacing w:val="-2"/>
          <w:sz w:val="20"/>
          <w:szCs w:val="20"/>
          <w:lang w:val="es-ES" w:eastAsia="en-US"/>
        </w:rPr>
        <w:t>Bogota</w:t>
      </w:r>
    </w:p>
    <w:p w14:paraId="1529E090" w14:textId="77777777" w:rsidR="0063702A" w:rsidRPr="00422AA4" w:rsidRDefault="0063702A">
      <w:pPr>
        <w:rPr>
          <w:rFonts w:ascii="Arial" w:eastAsia="Arial" w:hAnsi="Arial" w:cs="Arial"/>
        </w:rPr>
      </w:pPr>
    </w:p>
    <w:p w14:paraId="39FE1E94" w14:textId="5854DF97" w:rsidR="00464D0F" w:rsidRPr="0013233C" w:rsidRDefault="008C0B08">
      <w:pPr>
        <w:jc w:val="center"/>
        <w:rPr>
          <w:rFonts w:ascii="Arial" w:eastAsia="Arial" w:hAnsi="Arial" w:cs="Arial"/>
          <w:b/>
          <w:sz w:val="22"/>
          <w:szCs w:val="22"/>
        </w:rPr>
      </w:pPr>
      <w:r w:rsidRPr="0013233C">
        <w:rPr>
          <w:rFonts w:ascii="Arial" w:eastAsia="Arial" w:hAnsi="Arial" w:cs="Arial"/>
          <w:b/>
          <w:sz w:val="22"/>
          <w:szCs w:val="22"/>
        </w:rPr>
        <w:t xml:space="preserve">PROYECTO DE ACUERDO No. </w:t>
      </w:r>
      <w:r w:rsidR="007A008D">
        <w:rPr>
          <w:rFonts w:ascii="Arial" w:eastAsia="Arial" w:hAnsi="Arial" w:cs="Arial"/>
          <w:b/>
          <w:sz w:val="22"/>
          <w:szCs w:val="22"/>
        </w:rPr>
        <w:t xml:space="preserve"> 228 </w:t>
      </w:r>
      <w:bookmarkStart w:id="0" w:name="_GoBack"/>
      <w:bookmarkEnd w:id="0"/>
      <w:r w:rsidR="00452820" w:rsidRPr="0013233C">
        <w:rPr>
          <w:rFonts w:ascii="Arial" w:eastAsia="Arial" w:hAnsi="Arial" w:cs="Arial"/>
          <w:b/>
          <w:sz w:val="22"/>
          <w:szCs w:val="22"/>
        </w:rPr>
        <w:t>DE 202</w:t>
      </w:r>
      <w:r w:rsidR="00561AA0">
        <w:rPr>
          <w:rFonts w:ascii="Arial" w:eastAsia="Arial" w:hAnsi="Arial" w:cs="Arial"/>
          <w:b/>
          <w:sz w:val="22"/>
          <w:szCs w:val="22"/>
        </w:rPr>
        <w:t>5</w:t>
      </w:r>
    </w:p>
    <w:p w14:paraId="64E7ED61" w14:textId="77777777" w:rsidR="00464D0F" w:rsidRPr="0013233C" w:rsidRDefault="00464D0F">
      <w:pPr>
        <w:jc w:val="center"/>
        <w:rPr>
          <w:rFonts w:ascii="Arial" w:eastAsia="Arial" w:hAnsi="Arial" w:cs="Arial"/>
          <w:b/>
          <w:sz w:val="22"/>
          <w:szCs w:val="22"/>
        </w:rPr>
      </w:pPr>
    </w:p>
    <w:p w14:paraId="3A231217" w14:textId="77777777" w:rsidR="005C772E" w:rsidRPr="0063702A" w:rsidRDefault="005C772E" w:rsidP="005C772E">
      <w:pPr>
        <w:jc w:val="center"/>
        <w:rPr>
          <w:rFonts w:ascii="Arial" w:eastAsia="Arial" w:hAnsi="Arial" w:cs="Arial"/>
          <w:b/>
          <w:sz w:val="22"/>
          <w:szCs w:val="22"/>
          <w:lang w:val="es-ES"/>
        </w:rPr>
      </w:pPr>
      <w:r w:rsidRPr="0063702A">
        <w:rPr>
          <w:rFonts w:ascii="Arial" w:eastAsia="Arial" w:hAnsi="Arial" w:cs="Arial"/>
          <w:b/>
          <w:sz w:val="22"/>
          <w:szCs w:val="22"/>
          <w:lang w:val="es-ES"/>
        </w:rPr>
        <w:t xml:space="preserve">“Por medio del cual se </w:t>
      </w:r>
      <w:r>
        <w:rPr>
          <w:rFonts w:ascii="Arial" w:eastAsia="Arial" w:hAnsi="Arial" w:cs="Arial"/>
          <w:b/>
          <w:sz w:val="22"/>
          <w:szCs w:val="22"/>
          <w:lang w:val="es-ES"/>
        </w:rPr>
        <w:t>establecen medidas</w:t>
      </w:r>
      <w:r w:rsidRPr="0013233C">
        <w:rPr>
          <w:rFonts w:ascii="Arial" w:eastAsia="Arial" w:hAnsi="Arial" w:cs="Arial"/>
          <w:b/>
          <w:sz w:val="22"/>
          <w:szCs w:val="22"/>
        </w:rPr>
        <w:t xml:space="preserve"> para el saneamiento de obligaciones por pagar en los Fondos de Desarrollo Local del Distrito Capital y el Fondo de Desarrollo Rural de Sumapaz</w:t>
      </w:r>
      <w:r w:rsidRPr="0063702A">
        <w:rPr>
          <w:rFonts w:ascii="Arial" w:eastAsia="Arial" w:hAnsi="Arial" w:cs="Arial"/>
          <w:b/>
          <w:sz w:val="22"/>
          <w:szCs w:val="22"/>
          <w:lang w:val="es-ES"/>
        </w:rPr>
        <w:t>”</w:t>
      </w:r>
    </w:p>
    <w:p w14:paraId="4D2B4CE7" w14:textId="77777777" w:rsidR="00464D0F" w:rsidRPr="0013233C" w:rsidRDefault="00464D0F" w:rsidP="005C772E">
      <w:pPr>
        <w:jc w:val="right"/>
        <w:rPr>
          <w:rFonts w:ascii="Arial" w:eastAsia="Arial" w:hAnsi="Arial" w:cs="Arial"/>
          <w:b/>
          <w:sz w:val="22"/>
          <w:szCs w:val="22"/>
        </w:rPr>
      </w:pPr>
    </w:p>
    <w:p w14:paraId="11320706" w14:textId="77777777" w:rsidR="00464D0F" w:rsidRPr="0013233C" w:rsidRDefault="00464D0F">
      <w:pPr>
        <w:jc w:val="both"/>
        <w:rPr>
          <w:rFonts w:ascii="Arial" w:eastAsia="Arial" w:hAnsi="Arial" w:cs="Arial"/>
          <w:b/>
          <w:sz w:val="22"/>
          <w:szCs w:val="22"/>
        </w:rPr>
      </w:pPr>
    </w:p>
    <w:p w14:paraId="47442122" w14:textId="1E6EB3DF" w:rsidR="00464D0F" w:rsidRDefault="008C0B08" w:rsidP="006A7E46">
      <w:pPr>
        <w:jc w:val="center"/>
        <w:rPr>
          <w:rFonts w:ascii="Arial" w:eastAsia="Arial" w:hAnsi="Arial" w:cs="Arial"/>
          <w:b/>
          <w:sz w:val="22"/>
          <w:szCs w:val="22"/>
        </w:rPr>
      </w:pPr>
      <w:r w:rsidRPr="0013233C">
        <w:rPr>
          <w:rFonts w:ascii="Arial" w:eastAsia="Arial" w:hAnsi="Arial" w:cs="Arial"/>
          <w:b/>
          <w:sz w:val="22"/>
          <w:szCs w:val="22"/>
        </w:rPr>
        <w:t xml:space="preserve">EXPOSICIÓN DE MOTIVOS </w:t>
      </w:r>
    </w:p>
    <w:p w14:paraId="17F73E5E" w14:textId="77777777" w:rsidR="0013233C" w:rsidRPr="0013233C" w:rsidRDefault="0013233C" w:rsidP="006A7E46">
      <w:pPr>
        <w:jc w:val="center"/>
        <w:rPr>
          <w:rFonts w:ascii="Arial" w:eastAsia="Arial" w:hAnsi="Arial" w:cs="Arial"/>
          <w:b/>
          <w:sz w:val="22"/>
          <w:szCs w:val="22"/>
        </w:rPr>
      </w:pPr>
    </w:p>
    <w:p w14:paraId="1BB7F8C9" w14:textId="77777777" w:rsidR="00464D0F" w:rsidRPr="0013233C" w:rsidRDefault="00464D0F">
      <w:pPr>
        <w:jc w:val="center"/>
        <w:rPr>
          <w:rFonts w:ascii="Arial" w:eastAsia="Arial" w:hAnsi="Arial" w:cs="Arial"/>
          <w:sz w:val="22"/>
          <w:szCs w:val="22"/>
        </w:rPr>
      </w:pPr>
    </w:p>
    <w:p w14:paraId="7BCFEBEA" w14:textId="1341AB4A" w:rsidR="00464D0F" w:rsidRPr="0013233C" w:rsidRDefault="008C0B08" w:rsidP="0041565D">
      <w:pPr>
        <w:pStyle w:val="Prrafodelista"/>
        <w:numPr>
          <w:ilvl w:val="0"/>
          <w:numId w:val="13"/>
        </w:numPr>
        <w:rPr>
          <w:rFonts w:eastAsia="Arial" w:cs="Arial"/>
          <w:b/>
          <w:sz w:val="22"/>
          <w:szCs w:val="22"/>
        </w:rPr>
      </w:pPr>
      <w:r w:rsidRPr="0013233C">
        <w:rPr>
          <w:rFonts w:eastAsia="Arial" w:cs="Arial"/>
          <w:b/>
          <w:sz w:val="22"/>
          <w:szCs w:val="22"/>
        </w:rPr>
        <w:t xml:space="preserve"> OBJETO DEL PROYECTO</w:t>
      </w:r>
    </w:p>
    <w:p w14:paraId="729A7959" w14:textId="77777777" w:rsidR="00464D0F" w:rsidRPr="0013233C" w:rsidRDefault="00464D0F">
      <w:pPr>
        <w:jc w:val="both"/>
        <w:rPr>
          <w:rFonts w:ascii="Arial" w:eastAsia="Arial" w:hAnsi="Arial" w:cs="Arial"/>
          <w:sz w:val="22"/>
          <w:szCs w:val="22"/>
        </w:rPr>
      </w:pPr>
    </w:p>
    <w:p w14:paraId="40051F27" w14:textId="1B3F8755" w:rsidR="00464D0F" w:rsidRPr="0013233C" w:rsidRDefault="008C0B08" w:rsidP="00C57948">
      <w:pPr>
        <w:jc w:val="both"/>
        <w:rPr>
          <w:rFonts w:ascii="Arial" w:eastAsia="Arial" w:hAnsi="Arial" w:cs="Arial"/>
          <w:sz w:val="22"/>
          <w:szCs w:val="22"/>
        </w:rPr>
      </w:pPr>
      <w:r w:rsidRPr="0013233C">
        <w:rPr>
          <w:rFonts w:ascii="Arial" w:eastAsia="Arial" w:hAnsi="Arial" w:cs="Arial"/>
          <w:sz w:val="22"/>
          <w:szCs w:val="22"/>
        </w:rPr>
        <w:t xml:space="preserve">El presente Proyecto de Acuerdo tiene como objeto </w:t>
      </w:r>
      <w:r w:rsidR="00561AA0">
        <w:rPr>
          <w:rFonts w:ascii="Arial" w:eastAsia="Arial" w:hAnsi="Arial" w:cs="Arial"/>
          <w:sz w:val="22"/>
          <w:szCs w:val="22"/>
        </w:rPr>
        <w:t>requerir a la Administración Distrital para que</w:t>
      </w:r>
      <w:r w:rsidR="005C772E">
        <w:rPr>
          <w:rFonts w:ascii="Arial" w:eastAsia="Arial" w:hAnsi="Arial" w:cs="Arial"/>
          <w:sz w:val="22"/>
          <w:szCs w:val="22"/>
        </w:rPr>
        <w:t xml:space="preserve"> tome medidas que tiendan a generar el saneamiento de las obligaciones por pagar en los </w:t>
      </w:r>
      <w:r w:rsidR="005C772E" w:rsidRPr="005C772E">
        <w:rPr>
          <w:rFonts w:ascii="Arial" w:eastAsia="Arial" w:hAnsi="Arial" w:cs="Arial"/>
          <w:sz w:val="22"/>
          <w:szCs w:val="22"/>
        </w:rPr>
        <w:t>Fondos de Desarrollo Local del Distrito Capital y el Fondo de Desarrollo Rural de Sumapaz</w:t>
      </w:r>
      <w:r w:rsidR="005C772E">
        <w:rPr>
          <w:rFonts w:ascii="Arial" w:eastAsia="Arial" w:hAnsi="Arial" w:cs="Arial"/>
          <w:sz w:val="22"/>
          <w:szCs w:val="22"/>
        </w:rPr>
        <w:t xml:space="preserve">, </w:t>
      </w:r>
      <w:r w:rsidR="008A35F5">
        <w:rPr>
          <w:rFonts w:ascii="Arial" w:eastAsia="Arial" w:hAnsi="Arial" w:cs="Arial"/>
          <w:sz w:val="22"/>
          <w:szCs w:val="22"/>
        </w:rPr>
        <w:t>promoviendo</w:t>
      </w:r>
      <w:r w:rsidR="005C772E">
        <w:rPr>
          <w:rFonts w:ascii="Arial" w:eastAsia="Arial" w:hAnsi="Arial" w:cs="Arial"/>
          <w:sz w:val="22"/>
          <w:szCs w:val="22"/>
        </w:rPr>
        <w:t xml:space="preserve"> que </w:t>
      </w:r>
      <w:r w:rsidR="00561AA0">
        <w:rPr>
          <w:rFonts w:ascii="Arial" w:eastAsia="Arial" w:hAnsi="Arial" w:cs="Arial"/>
          <w:sz w:val="22"/>
          <w:szCs w:val="22"/>
        </w:rPr>
        <w:t xml:space="preserve"> se realice un estudio </w:t>
      </w:r>
      <w:r w:rsidR="008A35F5">
        <w:rPr>
          <w:rFonts w:ascii="Arial" w:eastAsia="Arial" w:hAnsi="Arial" w:cs="Arial"/>
          <w:sz w:val="22"/>
          <w:szCs w:val="22"/>
        </w:rPr>
        <w:t xml:space="preserve">que analice las herramientas idóneas para lograr el mencionado saneamiento y se </w:t>
      </w:r>
      <w:r w:rsidR="00561AA0">
        <w:rPr>
          <w:rFonts w:ascii="Arial" w:eastAsia="Arial" w:hAnsi="Arial" w:cs="Arial"/>
          <w:sz w:val="22"/>
          <w:szCs w:val="22"/>
        </w:rPr>
        <w:t xml:space="preserve">verifique la necesidad de la </w:t>
      </w:r>
      <w:r w:rsidR="00DE231A" w:rsidRPr="0013233C">
        <w:rPr>
          <w:rFonts w:ascii="Arial" w:eastAsia="Arial" w:hAnsi="Arial" w:cs="Arial"/>
          <w:sz w:val="22"/>
          <w:szCs w:val="22"/>
        </w:rPr>
        <w:t>creación de comités asesores para cada uno de los Fondos de Desarrollo Local</w:t>
      </w:r>
      <w:r w:rsidR="009F7147" w:rsidRPr="0013233C">
        <w:rPr>
          <w:rFonts w:ascii="Arial" w:eastAsia="Arial" w:hAnsi="Arial" w:cs="Arial"/>
          <w:sz w:val="22"/>
          <w:szCs w:val="22"/>
        </w:rPr>
        <w:t xml:space="preserve"> y el Fondo de Desarrollo Rural de Sumapaz</w:t>
      </w:r>
      <w:r w:rsidR="00DE231A" w:rsidRPr="0013233C">
        <w:rPr>
          <w:rFonts w:ascii="Arial" w:eastAsia="Arial" w:hAnsi="Arial" w:cs="Arial"/>
          <w:sz w:val="22"/>
          <w:szCs w:val="22"/>
        </w:rPr>
        <w:t xml:space="preserve">, cuya finalidad sea generar recomendaciones, lineamientos y estrategias para </w:t>
      </w:r>
      <w:r w:rsidR="008A35F5">
        <w:rPr>
          <w:rFonts w:ascii="Arial" w:eastAsia="Arial" w:hAnsi="Arial" w:cs="Arial"/>
          <w:sz w:val="22"/>
          <w:szCs w:val="22"/>
        </w:rPr>
        <w:t xml:space="preserve">que los Fondos tengan una salud financiera permanente conservando </w:t>
      </w:r>
      <w:r w:rsidR="00DE231A" w:rsidRPr="0013233C">
        <w:rPr>
          <w:rFonts w:ascii="Arial" w:eastAsia="Arial" w:hAnsi="Arial" w:cs="Arial"/>
          <w:sz w:val="22"/>
          <w:szCs w:val="22"/>
        </w:rPr>
        <w:t xml:space="preserve">una cultura de pago </w:t>
      </w:r>
      <w:r w:rsidR="0041565D" w:rsidRPr="0013233C">
        <w:rPr>
          <w:rFonts w:ascii="Arial" w:eastAsia="Arial" w:hAnsi="Arial" w:cs="Arial"/>
          <w:sz w:val="22"/>
          <w:szCs w:val="22"/>
        </w:rPr>
        <w:t>oportuno</w:t>
      </w:r>
      <w:r w:rsidR="000B01FE" w:rsidRPr="0013233C">
        <w:rPr>
          <w:rFonts w:ascii="Arial" w:eastAsia="Arial" w:hAnsi="Arial" w:cs="Arial"/>
          <w:sz w:val="22"/>
          <w:szCs w:val="22"/>
        </w:rPr>
        <w:t xml:space="preserve">, que incentive </w:t>
      </w:r>
      <w:r w:rsidR="00285780" w:rsidRPr="0013233C">
        <w:rPr>
          <w:rFonts w:ascii="Arial" w:eastAsia="Arial" w:hAnsi="Arial" w:cs="Arial"/>
          <w:sz w:val="22"/>
          <w:szCs w:val="22"/>
        </w:rPr>
        <w:t xml:space="preserve">la participación de </w:t>
      </w:r>
      <w:r w:rsidR="000B01FE" w:rsidRPr="0013233C">
        <w:rPr>
          <w:rFonts w:ascii="Arial" w:eastAsia="Arial" w:hAnsi="Arial" w:cs="Arial"/>
          <w:sz w:val="22"/>
          <w:szCs w:val="22"/>
        </w:rPr>
        <w:t>un</w:t>
      </w:r>
      <w:r w:rsidR="0041565D" w:rsidRPr="0013233C">
        <w:rPr>
          <w:rFonts w:ascii="Arial" w:eastAsia="Arial" w:hAnsi="Arial" w:cs="Arial"/>
          <w:sz w:val="22"/>
          <w:szCs w:val="22"/>
        </w:rPr>
        <w:t>a</w:t>
      </w:r>
      <w:r w:rsidR="000B01FE" w:rsidRPr="0013233C">
        <w:rPr>
          <w:rFonts w:ascii="Arial" w:eastAsia="Arial" w:hAnsi="Arial" w:cs="Arial"/>
          <w:sz w:val="22"/>
          <w:szCs w:val="22"/>
        </w:rPr>
        <w:t xml:space="preserve"> mayor </w:t>
      </w:r>
      <w:r w:rsidR="0041565D" w:rsidRPr="0013233C">
        <w:rPr>
          <w:rFonts w:ascii="Arial" w:eastAsia="Arial" w:hAnsi="Arial" w:cs="Arial"/>
          <w:sz w:val="22"/>
          <w:szCs w:val="22"/>
        </w:rPr>
        <w:t xml:space="preserve">pluralidad de oferentes </w:t>
      </w:r>
      <w:r w:rsidR="000B01FE" w:rsidRPr="0013233C">
        <w:rPr>
          <w:rFonts w:ascii="Arial" w:eastAsia="Arial" w:hAnsi="Arial" w:cs="Arial"/>
          <w:sz w:val="22"/>
          <w:szCs w:val="22"/>
        </w:rPr>
        <w:t xml:space="preserve">en los procesos de contratación pública </w:t>
      </w:r>
      <w:r w:rsidR="0041565D" w:rsidRPr="0013233C">
        <w:rPr>
          <w:rFonts w:ascii="Arial" w:eastAsia="Arial" w:hAnsi="Arial" w:cs="Arial"/>
          <w:sz w:val="22"/>
          <w:szCs w:val="22"/>
        </w:rPr>
        <w:t>con estas Entidades.</w:t>
      </w:r>
    </w:p>
    <w:p w14:paraId="57B5ACC4" w14:textId="6FB1AFA5" w:rsidR="00452820" w:rsidRPr="0013233C" w:rsidRDefault="00452820" w:rsidP="00C57948">
      <w:pPr>
        <w:jc w:val="both"/>
        <w:rPr>
          <w:rFonts w:ascii="Arial" w:eastAsia="Arial" w:hAnsi="Arial" w:cs="Arial"/>
          <w:sz w:val="22"/>
          <w:szCs w:val="22"/>
        </w:rPr>
      </w:pPr>
    </w:p>
    <w:p w14:paraId="016C0989" w14:textId="77777777" w:rsidR="00452820" w:rsidRPr="0013233C" w:rsidRDefault="00452820" w:rsidP="00452820">
      <w:pPr>
        <w:pStyle w:val="Prrafodelista"/>
        <w:numPr>
          <w:ilvl w:val="0"/>
          <w:numId w:val="13"/>
        </w:numPr>
        <w:pBdr>
          <w:top w:val="nil"/>
          <w:left w:val="nil"/>
          <w:bottom w:val="nil"/>
          <w:right w:val="nil"/>
          <w:between w:val="nil"/>
        </w:pBdr>
        <w:jc w:val="both"/>
        <w:rPr>
          <w:rFonts w:eastAsia="Arial" w:cs="Arial"/>
          <w:b/>
          <w:sz w:val="22"/>
          <w:szCs w:val="22"/>
        </w:rPr>
      </w:pPr>
      <w:r w:rsidRPr="0013233C">
        <w:rPr>
          <w:rFonts w:eastAsia="Arial" w:cs="Arial"/>
          <w:b/>
          <w:sz w:val="22"/>
          <w:szCs w:val="22"/>
        </w:rPr>
        <w:t xml:space="preserve">JUSTIFICACIÓN Y ANÁLISIS DE CONVENIENCIA DE LA INICIATIVA </w:t>
      </w:r>
    </w:p>
    <w:p w14:paraId="28B68DF5" w14:textId="77777777" w:rsidR="00452820" w:rsidRPr="0013233C" w:rsidRDefault="00452820" w:rsidP="00452820">
      <w:pPr>
        <w:pBdr>
          <w:top w:val="nil"/>
          <w:left w:val="nil"/>
          <w:bottom w:val="nil"/>
          <w:right w:val="nil"/>
          <w:between w:val="nil"/>
        </w:pBdr>
        <w:jc w:val="both"/>
        <w:rPr>
          <w:rFonts w:ascii="Arial" w:eastAsia="Arial" w:hAnsi="Arial" w:cs="Arial"/>
          <w:b/>
          <w:sz w:val="22"/>
          <w:szCs w:val="22"/>
        </w:rPr>
      </w:pPr>
    </w:p>
    <w:p w14:paraId="7E70CAE4" w14:textId="77777777" w:rsidR="00452820" w:rsidRPr="0013233C" w:rsidRDefault="00452820" w:rsidP="00452820">
      <w:pPr>
        <w:pBdr>
          <w:left w:val="nil"/>
          <w:bottom w:val="nil"/>
          <w:right w:val="nil"/>
          <w:between w:val="nil"/>
        </w:pBdr>
        <w:jc w:val="both"/>
        <w:rPr>
          <w:rFonts w:ascii="Arial" w:eastAsia="Arial" w:hAnsi="Arial" w:cs="Arial"/>
          <w:b/>
          <w:sz w:val="22"/>
          <w:szCs w:val="22"/>
        </w:rPr>
      </w:pPr>
    </w:p>
    <w:p w14:paraId="48247ED5"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
          <w:sz w:val="22"/>
          <w:szCs w:val="22"/>
        </w:rPr>
        <w:t>Causas y consecuencias de la acumulación de obligaciones por pagar</w:t>
      </w:r>
    </w:p>
    <w:p w14:paraId="3B228620"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4CB50E74" w14:textId="3F48F79C" w:rsidR="00422AA4"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El atraso en los pagos que las entidades estatales deben hacer a sus proveedores y la acumulación de estas obligaciones pueden generar una serie de efectos negativos en la economía (Diamond y Schiller, 1993), por lo que para el Fondo Monetario Internacional -en adelante FMI-, las medidas de los gobierno</w:t>
      </w:r>
      <w:r w:rsidR="00285780" w:rsidRPr="0013233C">
        <w:rPr>
          <w:rFonts w:ascii="Arial" w:eastAsia="Arial" w:hAnsi="Arial" w:cs="Arial"/>
          <w:bCs/>
          <w:sz w:val="22"/>
          <w:szCs w:val="22"/>
        </w:rPr>
        <w:t>s</w:t>
      </w:r>
      <w:r w:rsidRPr="0013233C">
        <w:rPr>
          <w:rFonts w:ascii="Arial" w:eastAsia="Arial" w:hAnsi="Arial" w:cs="Arial"/>
          <w:bCs/>
          <w:sz w:val="22"/>
          <w:szCs w:val="22"/>
        </w:rPr>
        <w:t xml:space="preserve"> nacionales y subnacionales en materia de pago de estas obligaciones, se ha constituido en una prioridad (FMI, 2014).</w:t>
      </w:r>
    </w:p>
    <w:p w14:paraId="70D01346"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798065E7"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Como lo plantea este organismo financiero internacional (Ibid, op. Cit), dentro de las principales consecuencias de esta práctica se encuentran las siguientes:</w:t>
      </w:r>
    </w:p>
    <w:p w14:paraId="4DD24A53"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177A324A" w14:textId="77777777" w:rsidR="00452820" w:rsidRPr="0013233C" w:rsidRDefault="00452820" w:rsidP="00452820">
      <w:pPr>
        <w:pStyle w:val="Prrafodelista"/>
        <w:numPr>
          <w:ilvl w:val="0"/>
          <w:numId w:val="15"/>
        </w:numPr>
        <w:pBdr>
          <w:left w:val="nil"/>
          <w:bottom w:val="nil"/>
          <w:right w:val="nil"/>
          <w:between w:val="nil"/>
        </w:pBdr>
        <w:jc w:val="both"/>
        <w:rPr>
          <w:rFonts w:eastAsia="Arial" w:cs="Arial"/>
          <w:bCs/>
          <w:sz w:val="22"/>
          <w:szCs w:val="22"/>
        </w:rPr>
      </w:pPr>
      <w:r w:rsidRPr="0013233C">
        <w:rPr>
          <w:rFonts w:eastAsia="Arial" w:cs="Arial"/>
          <w:b/>
          <w:sz w:val="22"/>
          <w:szCs w:val="22"/>
        </w:rPr>
        <w:t>Caída del crecimiento económico:</w:t>
      </w:r>
      <w:r w:rsidRPr="0013233C">
        <w:rPr>
          <w:rFonts w:eastAsia="Arial" w:cs="Arial"/>
          <w:bCs/>
          <w:sz w:val="22"/>
          <w:szCs w:val="22"/>
        </w:rPr>
        <w:t xml:space="preserve"> a medida que se acumulan obligaciones por pagar, ya sea por parte de gobiernos nacionales o de otras entidades estatales subnacionales que tienen un peso fiscal relativo importante dentro de la estructura </w:t>
      </w:r>
      <w:r w:rsidRPr="0013233C">
        <w:rPr>
          <w:rFonts w:eastAsia="Arial" w:cs="Arial"/>
          <w:bCs/>
          <w:sz w:val="22"/>
          <w:szCs w:val="22"/>
        </w:rPr>
        <w:lastRenderedPageBreak/>
        <w:t xml:space="preserve">de ingresos y gastos públicos, se pueden configurar disminuciones importantes en materia de liquidez que terminan por reducir el flujo de recursos en las economías nacionales. </w:t>
      </w:r>
    </w:p>
    <w:p w14:paraId="45E7F615" w14:textId="77777777" w:rsidR="00452820" w:rsidRPr="0013233C" w:rsidRDefault="00452820" w:rsidP="00452820">
      <w:pPr>
        <w:pStyle w:val="Prrafodelista"/>
        <w:pBdr>
          <w:left w:val="nil"/>
          <w:bottom w:val="nil"/>
          <w:right w:val="nil"/>
          <w:between w:val="nil"/>
        </w:pBdr>
        <w:ind w:left="720"/>
        <w:jc w:val="both"/>
        <w:rPr>
          <w:rFonts w:eastAsia="Arial" w:cs="Arial"/>
          <w:bCs/>
          <w:sz w:val="22"/>
          <w:szCs w:val="22"/>
        </w:rPr>
      </w:pPr>
    </w:p>
    <w:p w14:paraId="6ED85C1E" w14:textId="77777777" w:rsidR="00452820" w:rsidRPr="0013233C" w:rsidRDefault="00452820" w:rsidP="00452820">
      <w:pPr>
        <w:pStyle w:val="Prrafodelista"/>
        <w:numPr>
          <w:ilvl w:val="0"/>
          <w:numId w:val="15"/>
        </w:numPr>
        <w:pBdr>
          <w:left w:val="nil"/>
          <w:bottom w:val="nil"/>
          <w:right w:val="nil"/>
          <w:between w:val="nil"/>
        </w:pBdr>
        <w:jc w:val="both"/>
        <w:rPr>
          <w:rFonts w:eastAsia="Arial" w:cs="Arial"/>
          <w:bCs/>
          <w:sz w:val="22"/>
          <w:szCs w:val="22"/>
        </w:rPr>
      </w:pPr>
      <w:r w:rsidRPr="0013233C">
        <w:rPr>
          <w:rFonts w:eastAsia="Arial" w:cs="Arial"/>
          <w:b/>
          <w:sz w:val="22"/>
          <w:szCs w:val="22"/>
        </w:rPr>
        <w:t>Encarecimiento del suministro de bienes y servicios:</w:t>
      </w:r>
      <w:r w:rsidRPr="0013233C">
        <w:rPr>
          <w:rFonts w:eastAsia="Arial" w:cs="Arial"/>
          <w:bCs/>
          <w:sz w:val="22"/>
          <w:szCs w:val="22"/>
        </w:rPr>
        <w:t xml:space="preserve"> si los atrasos en los pagos se constituyen en una práctica recurrente por parte de las entidades públicas que contratan con privados, se puede generar un incentivo perverso que impulse a los proveedores a incrementar los precios. Esto con el fin de contrarrestar los faltantes de liquidez o posibles gastos extra, de orden jurídico, que se requieran para lograr el pago de las obligaciones por parte de las entidades públicas.</w:t>
      </w:r>
    </w:p>
    <w:p w14:paraId="7D52D897" w14:textId="77777777" w:rsidR="00452820" w:rsidRPr="0013233C" w:rsidRDefault="00452820" w:rsidP="00452820">
      <w:pPr>
        <w:pStyle w:val="Prrafodelista"/>
        <w:rPr>
          <w:rFonts w:eastAsia="Arial" w:cs="Arial"/>
          <w:bCs/>
          <w:sz w:val="22"/>
          <w:szCs w:val="22"/>
        </w:rPr>
      </w:pPr>
    </w:p>
    <w:p w14:paraId="6E4C160F" w14:textId="77777777" w:rsidR="00452820" w:rsidRPr="0013233C" w:rsidRDefault="00452820" w:rsidP="00452820">
      <w:pPr>
        <w:pStyle w:val="Prrafodelista"/>
        <w:pBdr>
          <w:left w:val="nil"/>
          <w:bottom w:val="nil"/>
          <w:right w:val="nil"/>
          <w:between w:val="nil"/>
        </w:pBdr>
        <w:ind w:left="720"/>
        <w:jc w:val="both"/>
        <w:rPr>
          <w:rFonts w:eastAsia="Arial" w:cs="Arial"/>
          <w:bCs/>
          <w:sz w:val="22"/>
          <w:szCs w:val="22"/>
        </w:rPr>
      </w:pPr>
    </w:p>
    <w:p w14:paraId="77F72B5E" w14:textId="77777777" w:rsidR="00452820" w:rsidRPr="0013233C" w:rsidRDefault="00452820" w:rsidP="00452820">
      <w:pPr>
        <w:pStyle w:val="Prrafodelista"/>
        <w:numPr>
          <w:ilvl w:val="0"/>
          <w:numId w:val="15"/>
        </w:numPr>
        <w:pBdr>
          <w:left w:val="nil"/>
          <w:bottom w:val="nil"/>
          <w:right w:val="nil"/>
          <w:between w:val="nil"/>
        </w:pBdr>
        <w:jc w:val="both"/>
        <w:rPr>
          <w:rFonts w:eastAsia="Arial" w:cs="Arial"/>
          <w:bCs/>
          <w:sz w:val="22"/>
          <w:szCs w:val="22"/>
        </w:rPr>
      </w:pPr>
      <w:r w:rsidRPr="0013233C">
        <w:rPr>
          <w:rFonts w:eastAsia="Arial" w:cs="Arial"/>
          <w:b/>
          <w:sz w:val="22"/>
          <w:szCs w:val="22"/>
        </w:rPr>
        <w:t>Disminución o interrupción de la prestación de servicios públicos:</w:t>
      </w:r>
      <w:r w:rsidRPr="0013233C">
        <w:rPr>
          <w:rFonts w:eastAsia="Arial" w:cs="Arial"/>
          <w:bCs/>
          <w:sz w:val="22"/>
          <w:szCs w:val="22"/>
        </w:rPr>
        <w:t xml:space="preserve"> el atraso en los pagos por parte de las entidades públicas a sus proveedores puede generar que la provisión de productos o servicios contratados sufra de alteraciones en materia de los cronogramas de entrega o hasta la misma suspensión de esta, ya que la falta de pago puede limitar, estructuralmente, la capacidad operativa de los proveedores. Derivado de esto, se puede poner en riesgo la entrega de bienes y servicios públicos esenciales, como los que pertenecen al sector de salud, ya sea nivel de suministros o de la operación misma de los profesionales del sector.</w:t>
      </w:r>
    </w:p>
    <w:p w14:paraId="6047A0F8" w14:textId="77777777" w:rsidR="00452820" w:rsidRPr="0013233C" w:rsidRDefault="00452820" w:rsidP="00452820">
      <w:pPr>
        <w:pStyle w:val="Prrafodelista"/>
        <w:pBdr>
          <w:left w:val="nil"/>
          <w:bottom w:val="nil"/>
          <w:right w:val="nil"/>
          <w:between w:val="nil"/>
        </w:pBdr>
        <w:ind w:left="720"/>
        <w:jc w:val="both"/>
        <w:rPr>
          <w:rFonts w:eastAsia="Arial" w:cs="Arial"/>
          <w:bCs/>
          <w:sz w:val="22"/>
          <w:szCs w:val="22"/>
        </w:rPr>
      </w:pPr>
    </w:p>
    <w:p w14:paraId="36F7329F" w14:textId="77777777" w:rsidR="00452820" w:rsidRPr="0013233C" w:rsidRDefault="00452820" w:rsidP="00452820">
      <w:pPr>
        <w:pStyle w:val="Prrafodelista"/>
        <w:numPr>
          <w:ilvl w:val="0"/>
          <w:numId w:val="15"/>
        </w:numPr>
        <w:pBdr>
          <w:left w:val="nil"/>
          <w:bottom w:val="nil"/>
          <w:right w:val="nil"/>
          <w:between w:val="nil"/>
        </w:pBdr>
        <w:jc w:val="both"/>
        <w:rPr>
          <w:rFonts w:eastAsia="Arial" w:cs="Arial"/>
          <w:bCs/>
          <w:sz w:val="22"/>
          <w:szCs w:val="22"/>
        </w:rPr>
      </w:pPr>
      <w:r w:rsidRPr="0013233C">
        <w:rPr>
          <w:rFonts w:eastAsia="Arial" w:cs="Arial"/>
          <w:b/>
          <w:sz w:val="22"/>
          <w:szCs w:val="22"/>
        </w:rPr>
        <w:t>Mayor captación de rentas:</w:t>
      </w:r>
      <w:r w:rsidRPr="0013233C">
        <w:rPr>
          <w:rFonts w:eastAsia="Arial" w:cs="Arial"/>
          <w:bCs/>
          <w:sz w:val="22"/>
          <w:szCs w:val="22"/>
        </w:rPr>
        <w:t xml:space="preserve"> la generación de incumplimientos en los pagos, sobre todo cuando esto implica realizar trámites administrativos para contar con los recursos necesarios para ello en vigencias posteriores a las establecidas para realizar estas operaciones, puede generar prácticas que van en contra de las normas de gestión fiscal. Es decir, se puede abrir la puerta a colusiones entre proveedores y servidores públicos.</w:t>
      </w:r>
    </w:p>
    <w:p w14:paraId="445DC026" w14:textId="77777777" w:rsidR="00452820" w:rsidRPr="0013233C" w:rsidRDefault="00452820" w:rsidP="00452820">
      <w:pPr>
        <w:pStyle w:val="Prrafodelista"/>
        <w:rPr>
          <w:rFonts w:eastAsia="Arial" w:cs="Arial"/>
          <w:bCs/>
          <w:sz w:val="22"/>
          <w:szCs w:val="22"/>
        </w:rPr>
      </w:pPr>
    </w:p>
    <w:p w14:paraId="5BA14918" w14:textId="77777777" w:rsidR="00452820" w:rsidRPr="0013233C" w:rsidRDefault="00452820" w:rsidP="00452820">
      <w:pPr>
        <w:pStyle w:val="Prrafodelista"/>
        <w:pBdr>
          <w:left w:val="nil"/>
          <w:bottom w:val="nil"/>
          <w:right w:val="nil"/>
          <w:between w:val="nil"/>
        </w:pBdr>
        <w:ind w:left="720"/>
        <w:jc w:val="both"/>
        <w:rPr>
          <w:rFonts w:eastAsia="Arial" w:cs="Arial"/>
          <w:bCs/>
          <w:sz w:val="22"/>
          <w:szCs w:val="22"/>
        </w:rPr>
      </w:pPr>
    </w:p>
    <w:p w14:paraId="557E0F02" w14:textId="77777777" w:rsidR="00452820" w:rsidRPr="0013233C" w:rsidRDefault="00452820" w:rsidP="00452820">
      <w:pPr>
        <w:pStyle w:val="Prrafodelista"/>
        <w:numPr>
          <w:ilvl w:val="0"/>
          <w:numId w:val="15"/>
        </w:numPr>
        <w:pBdr>
          <w:left w:val="nil"/>
          <w:bottom w:val="nil"/>
          <w:right w:val="nil"/>
          <w:between w:val="nil"/>
        </w:pBdr>
        <w:jc w:val="both"/>
        <w:rPr>
          <w:rFonts w:eastAsia="Arial" w:cs="Arial"/>
          <w:bCs/>
          <w:sz w:val="22"/>
          <w:szCs w:val="22"/>
        </w:rPr>
      </w:pPr>
      <w:r w:rsidRPr="0013233C">
        <w:rPr>
          <w:rFonts w:eastAsia="Arial" w:cs="Arial"/>
          <w:b/>
          <w:sz w:val="22"/>
          <w:szCs w:val="22"/>
        </w:rPr>
        <w:t>Alza en las tasas de interés:</w:t>
      </w:r>
      <w:r w:rsidRPr="0013233C">
        <w:rPr>
          <w:rFonts w:eastAsia="Arial" w:cs="Arial"/>
          <w:bCs/>
          <w:sz w:val="22"/>
          <w:szCs w:val="22"/>
        </w:rPr>
        <w:t xml:space="preserve"> los incumplimientos en los pagos de las entidades estatales a sus proveedores pueden derivar en la búsqueda de créditos, por parte de estos últimos, para enfrentar el impacto de la falta de liquidez. Esta situación puede generar que la demanda de dinero se aumente y, por ende, que el precio de este, expresado en incrementos de las tasas de interés cobradas por los bancos, crezca y termine por producir presiones inflacionarias.</w:t>
      </w:r>
    </w:p>
    <w:p w14:paraId="6012B224" w14:textId="77777777" w:rsidR="00452820" w:rsidRPr="0013233C" w:rsidRDefault="00452820" w:rsidP="00452820">
      <w:pPr>
        <w:pStyle w:val="Prrafodelista"/>
        <w:pBdr>
          <w:left w:val="nil"/>
          <w:bottom w:val="nil"/>
          <w:right w:val="nil"/>
          <w:between w:val="nil"/>
        </w:pBdr>
        <w:ind w:left="720"/>
        <w:jc w:val="both"/>
        <w:rPr>
          <w:rFonts w:eastAsia="Arial" w:cs="Arial"/>
          <w:bCs/>
          <w:sz w:val="22"/>
          <w:szCs w:val="22"/>
        </w:rPr>
      </w:pPr>
    </w:p>
    <w:p w14:paraId="4848F6EE" w14:textId="77777777" w:rsidR="00452820" w:rsidRPr="0013233C" w:rsidRDefault="00452820" w:rsidP="00452820">
      <w:pPr>
        <w:pStyle w:val="Prrafodelista"/>
        <w:numPr>
          <w:ilvl w:val="0"/>
          <w:numId w:val="15"/>
        </w:numPr>
        <w:pBdr>
          <w:left w:val="nil"/>
          <w:bottom w:val="nil"/>
          <w:right w:val="nil"/>
          <w:between w:val="nil"/>
        </w:pBdr>
        <w:jc w:val="both"/>
        <w:rPr>
          <w:rFonts w:eastAsia="Arial" w:cs="Arial"/>
          <w:bCs/>
          <w:sz w:val="22"/>
          <w:szCs w:val="22"/>
        </w:rPr>
      </w:pPr>
      <w:r w:rsidRPr="0013233C">
        <w:rPr>
          <w:rFonts w:eastAsia="Arial" w:cs="Arial"/>
          <w:b/>
          <w:sz w:val="22"/>
          <w:szCs w:val="22"/>
        </w:rPr>
        <w:t>Pérdida de confianza en la política fiscal:</w:t>
      </w:r>
      <w:r w:rsidRPr="0013233C">
        <w:rPr>
          <w:rFonts w:eastAsia="Arial" w:cs="Arial"/>
          <w:bCs/>
          <w:sz w:val="22"/>
          <w:szCs w:val="22"/>
        </w:rPr>
        <w:t xml:space="preserve"> la acumulación de obligaciones por pagar puede distorsionar de manera importante la información fiscal y financiera de las entidades públicas, ya que ocultaría la verdadera capacidad de gasto de las entidades al no contabilizarse de manera correcta el monto de las obligaciones que se dejaron de pagar y que deben ser cubiertas, sobre todo, en vigencias posteriores a las que les correspondían, según los cronogramas de pagos.</w:t>
      </w:r>
    </w:p>
    <w:p w14:paraId="3235D8DC" w14:textId="77777777" w:rsidR="00452820" w:rsidRPr="0013233C" w:rsidRDefault="00452820" w:rsidP="00452820">
      <w:pPr>
        <w:pStyle w:val="Prrafodelista"/>
        <w:rPr>
          <w:rFonts w:eastAsia="Arial" w:cs="Arial"/>
          <w:bCs/>
          <w:sz w:val="22"/>
          <w:szCs w:val="22"/>
        </w:rPr>
      </w:pPr>
    </w:p>
    <w:p w14:paraId="56CD45F0" w14:textId="77777777" w:rsidR="00452820" w:rsidRPr="0013233C" w:rsidRDefault="00452820" w:rsidP="00452820">
      <w:pPr>
        <w:pStyle w:val="Prrafodelista"/>
        <w:numPr>
          <w:ilvl w:val="0"/>
          <w:numId w:val="15"/>
        </w:numPr>
        <w:pBdr>
          <w:left w:val="nil"/>
          <w:bottom w:val="nil"/>
          <w:right w:val="nil"/>
          <w:between w:val="nil"/>
        </w:pBdr>
        <w:jc w:val="both"/>
        <w:rPr>
          <w:rFonts w:eastAsia="Arial" w:cs="Arial"/>
          <w:bCs/>
          <w:sz w:val="22"/>
          <w:szCs w:val="22"/>
        </w:rPr>
      </w:pPr>
      <w:r w:rsidRPr="0013233C">
        <w:rPr>
          <w:rFonts w:eastAsia="Arial" w:cs="Arial"/>
          <w:b/>
          <w:sz w:val="22"/>
          <w:szCs w:val="22"/>
        </w:rPr>
        <w:t>Costos fiscales de segundo orden</w:t>
      </w:r>
      <w:r w:rsidRPr="0013233C">
        <w:rPr>
          <w:rFonts w:eastAsia="Arial" w:cs="Arial"/>
          <w:bCs/>
          <w:sz w:val="22"/>
          <w:szCs w:val="22"/>
        </w:rPr>
        <w:t>: el atraso en los pagos puede generar otro efecto perverso y es que los proveedores decidan contrarrestar parte del impacto financiero derivado de la reducción de ingresos por estos atrasos e incumplimientos, mediante una reducción en el pago de impuestos, lo que aumenta el efecto negativo, ya no sólo a nivel de los egresos, sino de los ingresos en la estructura fiscal de los estados.</w:t>
      </w:r>
    </w:p>
    <w:p w14:paraId="1C00F61C" w14:textId="77777777" w:rsidR="00452820" w:rsidRPr="0013233C" w:rsidRDefault="00452820" w:rsidP="00452820">
      <w:pPr>
        <w:pStyle w:val="Prrafodelista"/>
        <w:rPr>
          <w:rFonts w:eastAsia="Arial" w:cs="Arial"/>
          <w:bCs/>
          <w:sz w:val="22"/>
          <w:szCs w:val="22"/>
        </w:rPr>
      </w:pPr>
    </w:p>
    <w:p w14:paraId="6BEE558E" w14:textId="5955E02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 xml:space="preserve">Los anteriores elementos de análisis, aportados por el FMI (2014), nos permiten entender que el atraso en los pagos y la acumulación, vigencia a vigencia, de obligaciones por pagar (en adelante OPP), pueden constituirse en variables que afecten de manera muy negativa la salud fiscal del Distrito y de la economía de la Ciudad, por lo que avanzar en medidas que permitan la reducción de la acumulación de estas OPP, se constituyen en acciones que pueden mejorar el estado de las finanzas públicas del Distrito y, al mismo tiempo, en variables que pueden impactar, </w:t>
      </w:r>
      <w:r w:rsidR="00285780" w:rsidRPr="0013233C">
        <w:rPr>
          <w:rFonts w:ascii="Arial" w:eastAsia="Arial" w:hAnsi="Arial" w:cs="Arial"/>
          <w:bCs/>
          <w:sz w:val="22"/>
          <w:szCs w:val="22"/>
        </w:rPr>
        <w:t>positivamente, los niveles de li</w:t>
      </w:r>
      <w:r w:rsidRPr="0013233C">
        <w:rPr>
          <w:rFonts w:ascii="Arial" w:eastAsia="Arial" w:hAnsi="Arial" w:cs="Arial"/>
          <w:bCs/>
          <w:sz w:val="22"/>
          <w:szCs w:val="22"/>
        </w:rPr>
        <w:t xml:space="preserve">quides en la economía de Bogotá. </w:t>
      </w:r>
    </w:p>
    <w:p w14:paraId="31550A12"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26701428"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Además, contar, entre otras, con estrategias y cronogramas técnicos de pago de OPP, puede disminuir el riesgo de colisión entre proveedores y servidores públicos, si estas medidas van acompañadas de los niveles de publicidad necesarios y el acompañamiento de corporaciones como el Concejo de Bogotá y entidades como los organismos de control que velan por el uso adecuado de los recursos públicos como la Contraloría General de la Nación, la Contraloría Distrital y la Veeduría Distrital.</w:t>
      </w:r>
    </w:p>
    <w:p w14:paraId="34C1FE2D"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1140CE4E"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 xml:space="preserve">Ahora bien, en relación con las causas que generan retrasos en los pagos y acumulación de OPP, el FMI (2014) advierte que factores como el mal diseño de los presupuestos de inversión genera incongruencias entre los gastos que se proponen ejecutar y la realidad de los ingresos de las entidades públicas. </w:t>
      </w:r>
    </w:p>
    <w:p w14:paraId="7E374486"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294CBFBE"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Cuando esto sucede, se genera un desbalance que puede producir situaciones deficitarias si no se toman los correctivos necesarios para que los gastos sean iguales o menores a los ingresos.</w:t>
      </w:r>
    </w:p>
    <w:p w14:paraId="0064A7A1"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307F8988"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 xml:space="preserve">Por otro lado, la ausencia de control de los compromisos se constituye, para el Fondo Monetario Internacional, en una de las causas que derivan en acumulación de OPP. Ello, debido a que, si no se realiza una verificación adecuada de las programaciones de pagos, entrada de los ingresos a caja y pago efectivo de las obligaciones, se entorpecen las verificaciones y certificaciones que se requieren para los pagos. </w:t>
      </w:r>
    </w:p>
    <w:p w14:paraId="27CBE92C"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54BCF8C7"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 xml:space="preserve">Debido a las dificultades propias de orden administrativos, cuando las OPP no se pagan a tiempo, se requerirán mayores tiempos y reprocesos para programar en el futuro los pagos. </w:t>
      </w:r>
      <w:r w:rsidRPr="0013233C">
        <w:rPr>
          <w:rFonts w:ascii="Arial" w:eastAsia="Arial" w:hAnsi="Arial" w:cs="Arial"/>
          <w:bCs/>
          <w:sz w:val="22"/>
          <w:szCs w:val="22"/>
        </w:rPr>
        <w:lastRenderedPageBreak/>
        <w:t>Esta situación termina, muchas veces, por generar la acumulación de las OPP aún más allá de la vigencia para la que estaban programados los pagos.</w:t>
      </w:r>
    </w:p>
    <w:p w14:paraId="70A0C22E"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62466162"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 xml:space="preserve">Además de lo anterior, para el FMI (2014), el atraso en los procesamientos de los pagos y el cumplimiento de los tiempos límites para ello se constituye en un factor que genera mayores acumulaciones de OPP. En parte, esto se puede deber a la falta de los equipos humanos necesarios para tramitar volúmenes de pagos que pueden ser bastante altos. </w:t>
      </w:r>
    </w:p>
    <w:p w14:paraId="4112E46A"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0CD17AFF"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Esto va en contra de la celeridad de los procesos, pero, ello sumado a las inflexiones de los procesos de pago con cargo a los presupuestos en Colombia, agrave el problema y se generan condiciones que terminan por incrementar el riesgo de que una cuenta no pagada a tiempo se constituya en una OPP que debe ser cubierta en una vigencia posterior a la que debería cubrir, originalmente, el pago.</w:t>
      </w:r>
    </w:p>
    <w:p w14:paraId="5B683CDC"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48F3B4EA"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 xml:space="preserve">La morosidad deliberada, sumadas a las anteriores causas, se constituye en una de las principales causas del atraso y la acumulación de OPP. Según Irwin (2012), en algunos Estados se puede presentar el hecho de que las administraciones salientes, con la intención de mostrar niveles de saldo altos en efectivo, reduzcan los pagos en la última vigencia que les corresponde y trasladen, deliberadamente, las cuentas por pagar que les correspondían a las administraciones siguientes. </w:t>
      </w:r>
    </w:p>
    <w:p w14:paraId="48704B8D"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170F3232"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Esta causa puede ser particularmente dañina para las finanzas públicas de las entidades, pues si los ingresos futuros de las administraciones entrantes se ven afectados por elementos como un menor recaudo o un incremento súbito en los costos de prestación de bienes y servicios públicos, se pueden presentar graves problemas de liquidez y de capacidad real de pago por parte de las entidades públicas. Ello, sin duda, aumentaría aún más la generación de retrasos y traslado de OPP a vigencias posteriores, lo que sigue aumentando el problema.</w:t>
      </w:r>
    </w:p>
    <w:p w14:paraId="3D057710"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15B584EB"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Ahora bien, al pasar al análisis de las alternativas de mitigación y solución que desde el FMI se establecen para enfrentar el impacto fiscal de la acumulación de cuentas por cobrar, encontramos una serie de alternativas que los gobiernos pueden poner en marcha.</w:t>
      </w:r>
    </w:p>
    <w:p w14:paraId="6FB8F89F"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2626D005"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 xml:space="preserve">Inicialmente, para este organismo multilateral, el reforzamiento del marco legal y regulatorio aparece como uno de los elementos fundamentales. A partir de este fortalecimiento es posible establecer procedimientos de gestión correspondientes, específicamente, orientados a tramitar y saldar obligaciones por pagar que se hayan acumulado y correspondientes a vigencias anteriores (FMI, 2014). </w:t>
      </w:r>
    </w:p>
    <w:p w14:paraId="3A0704CB"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3A4FA355"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 xml:space="preserve">Además de lo anterior, es vital mejorar el nivel de realismo del presupuesto, lo cual implica, entre otras, que los pagos derivados por las OPP acumuladas de vigencias anteriores, sí </w:t>
      </w:r>
      <w:r w:rsidRPr="0013233C">
        <w:rPr>
          <w:rFonts w:ascii="Arial" w:eastAsia="Arial" w:hAnsi="Arial" w:cs="Arial"/>
          <w:bCs/>
          <w:sz w:val="22"/>
          <w:szCs w:val="22"/>
        </w:rPr>
        <w:lastRenderedPageBreak/>
        <w:t>sean tenidos en cuenta dentro de los procesos de construcción de los presupuestos anuales (FMI, 2014).</w:t>
      </w:r>
    </w:p>
    <w:p w14:paraId="1C39C794"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6FAA281E" w14:textId="203A68D9"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 xml:space="preserve">Por otro lado, resulta vital mejorar los procesos de contabilización y reporte de información presupuestal (FMI, 2014). Esto es fundamental para que los procesos de planeación, ejecución y control de los presupuestos sean objetivos y, además, para que las acciones de control social sobre la actividad presupuestal puedan realizarse de mejor manera. </w:t>
      </w:r>
      <w:r w:rsidRPr="0013233C">
        <w:rPr>
          <w:rFonts w:ascii="Arial" w:eastAsia="Arial" w:hAnsi="Arial" w:cs="Arial"/>
          <w:bCs/>
          <w:sz w:val="22"/>
          <w:szCs w:val="22"/>
          <w:u w:val="single"/>
        </w:rPr>
        <w:t>Así, los niveles de confianza, por parte de la ciudadanía en las labores presupuestales, puede incrementarse y, por ende, los grados de gobernabilidad</w:t>
      </w:r>
      <w:r w:rsidRPr="0013233C">
        <w:rPr>
          <w:rFonts w:ascii="Arial" w:eastAsia="Arial" w:hAnsi="Arial" w:cs="Arial"/>
          <w:bCs/>
          <w:sz w:val="22"/>
          <w:szCs w:val="22"/>
        </w:rPr>
        <w:t>.</w:t>
      </w:r>
    </w:p>
    <w:p w14:paraId="7BD505ED" w14:textId="77777777" w:rsidR="008E1213" w:rsidRPr="0013233C" w:rsidRDefault="008E1213" w:rsidP="00452820">
      <w:pPr>
        <w:pBdr>
          <w:left w:val="nil"/>
          <w:bottom w:val="nil"/>
          <w:right w:val="nil"/>
          <w:between w:val="nil"/>
        </w:pBdr>
        <w:jc w:val="both"/>
        <w:rPr>
          <w:rFonts w:ascii="Arial" w:eastAsia="Arial" w:hAnsi="Arial" w:cs="Arial"/>
          <w:bCs/>
          <w:sz w:val="22"/>
          <w:szCs w:val="22"/>
        </w:rPr>
      </w:pPr>
    </w:p>
    <w:p w14:paraId="6DD1FF4E"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Como ejemplo en materia de medidas para evitar la acumulación de cuentas por pagar, el Gobierno de Portugal puso en marcha una serie de acciones tendientes a regularizar las cuentas por pagar que se habían acumulado en años anteriores. Estas medidas las resumió el Fondo Monetario Internacional de la siguiente manera (FMI, 2014):</w:t>
      </w:r>
    </w:p>
    <w:p w14:paraId="2C3C4FA5"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3A8A63C8" w14:textId="160F5439" w:rsidR="00452820" w:rsidRPr="0013233C" w:rsidRDefault="00452820" w:rsidP="008E1213">
      <w:pPr>
        <w:pBdr>
          <w:left w:val="nil"/>
          <w:bottom w:val="nil"/>
          <w:right w:val="nil"/>
          <w:between w:val="nil"/>
        </w:pBdr>
        <w:ind w:left="567" w:right="618"/>
        <w:jc w:val="both"/>
        <w:rPr>
          <w:rFonts w:ascii="Arial" w:eastAsia="Arial" w:hAnsi="Arial" w:cs="Arial"/>
          <w:bCs/>
          <w:i/>
          <w:iCs/>
          <w:sz w:val="22"/>
          <w:szCs w:val="22"/>
        </w:rPr>
      </w:pPr>
      <w:r w:rsidRPr="0013233C">
        <w:rPr>
          <w:rFonts w:ascii="Arial" w:eastAsia="Arial" w:hAnsi="Arial" w:cs="Arial"/>
          <w:b/>
          <w:i/>
          <w:iCs/>
          <w:sz w:val="22"/>
          <w:szCs w:val="22"/>
        </w:rPr>
        <w:t>“Marco jurídico y censo de atrasos.</w:t>
      </w:r>
      <w:r w:rsidRPr="0013233C">
        <w:rPr>
          <w:rFonts w:ascii="Arial" w:eastAsia="Arial" w:hAnsi="Arial" w:cs="Arial"/>
          <w:bCs/>
          <w:i/>
          <w:iCs/>
          <w:sz w:val="22"/>
          <w:szCs w:val="22"/>
        </w:rPr>
        <w:t xml:space="preserve"> El gobierno sancionó legislación q</w:t>
      </w:r>
      <w:r w:rsidR="008E1213" w:rsidRPr="0013233C">
        <w:rPr>
          <w:rFonts w:ascii="Arial" w:eastAsia="Arial" w:hAnsi="Arial" w:cs="Arial"/>
          <w:bCs/>
          <w:i/>
          <w:iCs/>
          <w:sz w:val="22"/>
          <w:szCs w:val="22"/>
        </w:rPr>
        <w:t xml:space="preserve">ue: 1) especificaba </w:t>
      </w:r>
      <w:r w:rsidRPr="0013233C">
        <w:rPr>
          <w:rFonts w:ascii="Arial" w:eastAsia="Arial" w:hAnsi="Arial" w:cs="Arial"/>
          <w:bCs/>
          <w:i/>
          <w:iCs/>
          <w:sz w:val="22"/>
          <w:szCs w:val="22"/>
        </w:rPr>
        <w:t>que los pagos están en atraso cuando han transcurrido más de 90 días desde el vencimiento; 2) exigía la preparación de un informe anual con las facturas impagadas y clasificaba los atrasos de acuerdo con su tipología, y 3) establecía reglas generales y específicas para la definición de los atrasos y el proceso de regularización.</w:t>
      </w:r>
    </w:p>
    <w:p w14:paraId="6A22CCA4" w14:textId="77777777" w:rsidR="00452820" w:rsidRPr="0013233C" w:rsidRDefault="00452820" w:rsidP="00452820">
      <w:pPr>
        <w:pBdr>
          <w:left w:val="nil"/>
          <w:bottom w:val="nil"/>
          <w:right w:val="nil"/>
          <w:between w:val="nil"/>
        </w:pBdr>
        <w:ind w:left="567" w:right="618"/>
        <w:jc w:val="both"/>
        <w:rPr>
          <w:rFonts w:ascii="Arial" w:eastAsia="Arial" w:hAnsi="Arial" w:cs="Arial"/>
          <w:bCs/>
          <w:i/>
          <w:iCs/>
          <w:sz w:val="22"/>
          <w:szCs w:val="22"/>
        </w:rPr>
      </w:pPr>
    </w:p>
    <w:p w14:paraId="28788B99" w14:textId="74990268" w:rsidR="00452820" w:rsidRPr="0013233C" w:rsidRDefault="00452820" w:rsidP="008E1213">
      <w:pPr>
        <w:pBdr>
          <w:left w:val="nil"/>
          <w:bottom w:val="nil"/>
          <w:right w:val="nil"/>
          <w:between w:val="nil"/>
        </w:pBdr>
        <w:ind w:left="567" w:right="618"/>
        <w:jc w:val="both"/>
        <w:rPr>
          <w:rFonts w:ascii="Arial" w:eastAsia="Arial" w:hAnsi="Arial" w:cs="Arial"/>
          <w:bCs/>
          <w:i/>
          <w:iCs/>
          <w:sz w:val="22"/>
          <w:szCs w:val="22"/>
        </w:rPr>
      </w:pPr>
      <w:r w:rsidRPr="0013233C">
        <w:rPr>
          <w:rFonts w:ascii="Arial" w:eastAsia="Arial" w:hAnsi="Arial" w:cs="Arial"/>
          <w:b/>
          <w:i/>
          <w:iCs/>
          <w:sz w:val="22"/>
          <w:szCs w:val="22"/>
        </w:rPr>
        <w:t>Declaración de atrasos.</w:t>
      </w:r>
      <w:r w:rsidRPr="0013233C">
        <w:rPr>
          <w:rFonts w:ascii="Arial" w:eastAsia="Arial" w:hAnsi="Arial" w:cs="Arial"/>
          <w:bCs/>
          <w:i/>
          <w:iCs/>
          <w:sz w:val="22"/>
          <w:szCs w:val="22"/>
        </w:rPr>
        <w:t xml:space="preserve"> En junio de 2011 se inició un ce</w:t>
      </w:r>
      <w:r w:rsidR="008E1213" w:rsidRPr="0013233C">
        <w:rPr>
          <w:rFonts w:ascii="Arial" w:eastAsia="Arial" w:hAnsi="Arial" w:cs="Arial"/>
          <w:bCs/>
          <w:i/>
          <w:iCs/>
          <w:sz w:val="22"/>
          <w:szCs w:val="22"/>
        </w:rPr>
        <w:t xml:space="preserve">nso mensual que cubre todas las </w:t>
      </w:r>
      <w:r w:rsidRPr="0013233C">
        <w:rPr>
          <w:rFonts w:ascii="Arial" w:eastAsia="Arial" w:hAnsi="Arial" w:cs="Arial"/>
          <w:bCs/>
          <w:i/>
          <w:iCs/>
          <w:sz w:val="22"/>
          <w:szCs w:val="22"/>
        </w:rPr>
        <w:t xml:space="preserve">entidades del gobierno general. Los tres ámbitos que concentran más del </w:t>
      </w:r>
      <w:r w:rsidR="008E1213" w:rsidRPr="0013233C">
        <w:rPr>
          <w:rFonts w:ascii="Arial" w:eastAsia="Arial" w:hAnsi="Arial" w:cs="Arial"/>
          <w:bCs/>
          <w:i/>
          <w:iCs/>
          <w:sz w:val="22"/>
          <w:szCs w:val="22"/>
        </w:rPr>
        <w:t xml:space="preserve">96% del total de </w:t>
      </w:r>
      <w:r w:rsidRPr="0013233C">
        <w:rPr>
          <w:rFonts w:ascii="Arial" w:eastAsia="Arial" w:hAnsi="Arial" w:cs="Arial"/>
          <w:bCs/>
          <w:i/>
          <w:iCs/>
          <w:sz w:val="22"/>
          <w:szCs w:val="22"/>
        </w:rPr>
        <w:t>atrasos son el sector de la salud, las administraciones locales y la administración regional de Madeira.</w:t>
      </w:r>
    </w:p>
    <w:p w14:paraId="33903DE1" w14:textId="77777777" w:rsidR="00452820" w:rsidRPr="0013233C" w:rsidRDefault="00452820" w:rsidP="00452820">
      <w:pPr>
        <w:pBdr>
          <w:left w:val="nil"/>
          <w:bottom w:val="nil"/>
          <w:right w:val="nil"/>
          <w:between w:val="nil"/>
        </w:pBdr>
        <w:ind w:left="567" w:right="618"/>
        <w:jc w:val="both"/>
        <w:rPr>
          <w:rFonts w:ascii="Arial" w:eastAsia="Arial" w:hAnsi="Arial" w:cs="Arial"/>
          <w:b/>
          <w:i/>
          <w:iCs/>
          <w:sz w:val="22"/>
          <w:szCs w:val="22"/>
        </w:rPr>
      </w:pPr>
    </w:p>
    <w:p w14:paraId="61526C22" w14:textId="7255440C" w:rsidR="00452820" w:rsidRPr="0013233C" w:rsidRDefault="00452820" w:rsidP="008E1213">
      <w:pPr>
        <w:pBdr>
          <w:left w:val="nil"/>
          <w:bottom w:val="nil"/>
          <w:right w:val="nil"/>
          <w:between w:val="nil"/>
        </w:pBdr>
        <w:ind w:left="567" w:right="618"/>
        <w:jc w:val="both"/>
        <w:rPr>
          <w:rFonts w:ascii="Arial" w:eastAsia="Arial" w:hAnsi="Arial" w:cs="Arial"/>
          <w:bCs/>
          <w:i/>
          <w:iCs/>
          <w:sz w:val="22"/>
          <w:szCs w:val="22"/>
        </w:rPr>
      </w:pPr>
      <w:r w:rsidRPr="0013233C">
        <w:rPr>
          <w:rFonts w:ascii="Arial" w:eastAsia="Arial" w:hAnsi="Arial" w:cs="Arial"/>
          <w:b/>
          <w:i/>
          <w:iCs/>
          <w:sz w:val="22"/>
          <w:szCs w:val="22"/>
        </w:rPr>
        <w:t>Transparencia.</w:t>
      </w:r>
      <w:r w:rsidRPr="0013233C">
        <w:rPr>
          <w:rFonts w:ascii="Arial" w:eastAsia="Arial" w:hAnsi="Arial" w:cs="Arial"/>
          <w:bCs/>
          <w:i/>
          <w:iCs/>
          <w:sz w:val="22"/>
          <w:szCs w:val="22"/>
        </w:rPr>
        <w:t xml:space="preserve"> Considerada como un elemento fundamental de la estrategia, toda la información sobre los atrasos se publicó en la página web </w:t>
      </w:r>
      <w:r w:rsidR="008E1213" w:rsidRPr="0013233C">
        <w:rPr>
          <w:rFonts w:ascii="Arial" w:eastAsia="Arial" w:hAnsi="Arial" w:cs="Arial"/>
          <w:bCs/>
          <w:i/>
          <w:iCs/>
          <w:sz w:val="22"/>
          <w:szCs w:val="22"/>
        </w:rPr>
        <w:t xml:space="preserve">del ministerio de Hacienda y se </w:t>
      </w:r>
      <w:r w:rsidRPr="0013233C">
        <w:rPr>
          <w:rFonts w:ascii="Arial" w:eastAsia="Arial" w:hAnsi="Arial" w:cs="Arial"/>
          <w:bCs/>
          <w:i/>
          <w:iCs/>
          <w:sz w:val="22"/>
          <w:szCs w:val="22"/>
        </w:rPr>
        <w:t>actualiza todos los meses.</w:t>
      </w:r>
    </w:p>
    <w:p w14:paraId="320B4498" w14:textId="77777777" w:rsidR="00452820" w:rsidRPr="0013233C" w:rsidRDefault="00452820" w:rsidP="00452820">
      <w:pPr>
        <w:pBdr>
          <w:left w:val="nil"/>
          <w:bottom w:val="nil"/>
          <w:right w:val="nil"/>
          <w:between w:val="nil"/>
        </w:pBdr>
        <w:ind w:left="567" w:right="618"/>
        <w:jc w:val="both"/>
        <w:rPr>
          <w:rFonts w:ascii="Arial" w:eastAsia="Arial" w:hAnsi="Arial" w:cs="Arial"/>
          <w:b/>
          <w:i/>
          <w:iCs/>
          <w:sz w:val="22"/>
          <w:szCs w:val="22"/>
        </w:rPr>
      </w:pPr>
    </w:p>
    <w:p w14:paraId="755358CD" w14:textId="77777777" w:rsidR="00452820" w:rsidRPr="0013233C" w:rsidRDefault="00452820" w:rsidP="00452820">
      <w:pPr>
        <w:pBdr>
          <w:left w:val="nil"/>
          <w:bottom w:val="nil"/>
          <w:right w:val="nil"/>
          <w:between w:val="nil"/>
        </w:pBdr>
        <w:ind w:left="567" w:right="618"/>
        <w:jc w:val="both"/>
        <w:rPr>
          <w:rFonts w:ascii="Arial" w:eastAsia="Arial" w:hAnsi="Arial" w:cs="Arial"/>
          <w:bCs/>
          <w:i/>
          <w:iCs/>
          <w:sz w:val="22"/>
          <w:szCs w:val="22"/>
        </w:rPr>
      </w:pPr>
      <w:r w:rsidRPr="0013233C">
        <w:rPr>
          <w:rFonts w:ascii="Arial" w:eastAsia="Arial" w:hAnsi="Arial" w:cs="Arial"/>
          <w:b/>
          <w:i/>
          <w:iCs/>
          <w:sz w:val="22"/>
          <w:szCs w:val="22"/>
        </w:rPr>
        <w:t>Control de compromisos.</w:t>
      </w:r>
      <w:r w:rsidRPr="0013233C">
        <w:rPr>
          <w:rFonts w:ascii="Arial" w:eastAsia="Arial" w:hAnsi="Arial" w:cs="Arial"/>
          <w:bCs/>
          <w:i/>
          <w:iCs/>
          <w:sz w:val="22"/>
          <w:szCs w:val="22"/>
        </w:rPr>
        <w:t xml:space="preserve"> Antes de la regularización de los atrasos, el gobierno aprobó una ley que permitía nuevos compromisos únicamente si los recursos financieros apropiados se encontraban disponibles e introducidos en un sistema auxiliar. Para poner en práctica esta regla, por cada nuevo contrato con proveedores se asigna un número de compromiso que vincula un recurso presupuestario y financiero a ese gasto.</w:t>
      </w:r>
    </w:p>
    <w:p w14:paraId="1982ABA8" w14:textId="77777777" w:rsidR="00452820" w:rsidRPr="0013233C" w:rsidRDefault="00452820" w:rsidP="00452820">
      <w:pPr>
        <w:pBdr>
          <w:left w:val="nil"/>
          <w:bottom w:val="nil"/>
          <w:right w:val="nil"/>
          <w:between w:val="nil"/>
        </w:pBdr>
        <w:ind w:left="567" w:right="618"/>
        <w:jc w:val="both"/>
        <w:rPr>
          <w:rFonts w:ascii="Arial" w:eastAsia="Arial" w:hAnsi="Arial" w:cs="Arial"/>
          <w:b/>
          <w:i/>
          <w:iCs/>
          <w:sz w:val="22"/>
          <w:szCs w:val="22"/>
        </w:rPr>
      </w:pPr>
    </w:p>
    <w:p w14:paraId="4500172F" w14:textId="77777777" w:rsidR="00452820" w:rsidRPr="0013233C" w:rsidRDefault="00452820" w:rsidP="00452820">
      <w:pPr>
        <w:pBdr>
          <w:left w:val="nil"/>
          <w:bottom w:val="nil"/>
          <w:right w:val="nil"/>
          <w:between w:val="nil"/>
        </w:pBdr>
        <w:ind w:left="567" w:right="618"/>
        <w:jc w:val="both"/>
        <w:rPr>
          <w:rFonts w:ascii="Arial" w:eastAsia="Arial" w:hAnsi="Arial" w:cs="Arial"/>
          <w:bCs/>
          <w:i/>
          <w:iCs/>
          <w:sz w:val="22"/>
          <w:szCs w:val="22"/>
        </w:rPr>
      </w:pPr>
      <w:r w:rsidRPr="0013233C">
        <w:rPr>
          <w:rFonts w:ascii="Arial" w:eastAsia="Arial" w:hAnsi="Arial" w:cs="Arial"/>
          <w:b/>
          <w:i/>
          <w:iCs/>
          <w:sz w:val="22"/>
          <w:szCs w:val="22"/>
        </w:rPr>
        <w:t>Estrategia de regularización.</w:t>
      </w:r>
      <w:r w:rsidRPr="0013233C">
        <w:rPr>
          <w:rFonts w:ascii="Arial" w:eastAsia="Arial" w:hAnsi="Arial" w:cs="Arial"/>
          <w:bCs/>
          <w:i/>
          <w:iCs/>
          <w:sz w:val="22"/>
          <w:szCs w:val="22"/>
        </w:rPr>
        <w:t xml:space="preserve"> Cuatro reglas generales fijaron las prioridades de la regularización de atrasos: 1) la antigüedad de los pagos atrasados (las más antiguas se pagaron primero); 2) la acumulación de costos adicionales vinculados a los intereses por atrasos (se dio prioridad a los más costosos); 3) el riesgo de litigios judiciales que podrían tener un impacto financiero adicional, y 4) el impacto socioeconómico vinculado a los atrasos en el pago, como el riesgo de quiebra de los proveedores. Siguiendo estas reglas, cada entidad tuvo que preparar un plan de regularización de pagos que definía cómo y cuándo se remediaría el atraso.”</w:t>
      </w:r>
    </w:p>
    <w:p w14:paraId="2F864708"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4D5FD965"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7123C936"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Como se puede ver, entonces, el problema de la acumulación de OPP se puede constituir en un factor que impacte de manera negativa la gestión presupuestal de las entidades públicas, la capacidad de provisión de bienes y servicios públicos por parte de estas e, incluso, esta acumulación puede generar efectos negativos en las economías nacionales. Por ello, resulta vital que, en materia de los Fondos de Desarrollo Local, se cuente, entre otras, con herramientas normativas que permitan gestionar de manera adecuada las OPP y tener presupuestos más reales que respondan a las necesidades de las localidades presentes en Bogotá.</w:t>
      </w:r>
    </w:p>
    <w:p w14:paraId="04EB0E70"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48958EDE" w14:textId="77777777" w:rsidR="00452820" w:rsidRPr="0013233C" w:rsidRDefault="00452820" w:rsidP="00452820">
      <w:pPr>
        <w:pBdr>
          <w:left w:val="nil"/>
          <w:bottom w:val="nil"/>
          <w:right w:val="nil"/>
          <w:between w:val="nil"/>
        </w:pBdr>
        <w:jc w:val="both"/>
        <w:rPr>
          <w:rFonts w:ascii="Arial" w:eastAsia="Arial" w:hAnsi="Arial" w:cs="Arial"/>
          <w:b/>
          <w:sz w:val="22"/>
          <w:szCs w:val="22"/>
        </w:rPr>
      </w:pPr>
      <w:r w:rsidRPr="0013233C">
        <w:rPr>
          <w:rFonts w:ascii="Arial" w:eastAsia="Arial" w:hAnsi="Arial" w:cs="Arial"/>
          <w:b/>
          <w:sz w:val="22"/>
          <w:szCs w:val="22"/>
        </w:rPr>
        <w:t>Una aproximación a las OPP de los Fondos de Desarrollo Local en Bogotá</w:t>
      </w:r>
    </w:p>
    <w:p w14:paraId="2C96AC9F"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2B691EAA"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Los Fondos de Desarrollo Local (en adelante FDL) son una de las principales instancias para la provisión de bienes y servicios públicos en el Distrito y en su existencia se justifica, en gran parte, en que estos fondos tienen la capacidad de ejecutar inversiones públicas que van directamente enfocadas en el mejoramiento de la calidad de vida de las personas que habitan las 20 localidades de Bogotá.</w:t>
      </w:r>
    </w:p>
    <w:p w14:paraId="7ACA1D7F"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p>
    <w:p w14:paraId="36DA84C1" w14:textId="77777777" w:rsidR="00452820" w:rsidRPr="0013233C" w:rsidRDefault="00452820" w:rsidP="00452820">
      <w:pPr>
        <w:pBdr>
          <w:left w:val="nil"/>
          <w:bottom w:val="nil"/>
          <w:right w:val="nil"/>
          <w:between w:val="nil"/>
        </w:pBdr>
        <w:jc w:val="both"/>
        <w:rPr>
          <w:rFonts w:ascii="Arial" w:eastAsia="Arial" w:hAnsi="Arial" w:cs="Arial"/>
          <w:bCs/>
          <w:sz w:val="22"/>
          <w:szCs w:val="22"/>
        </w:rPr>
      </w:pPr>
      <w:r w:rsidRPr="0013233C">
        <w:rPr>
          <w:rFonts w:ascii="Arial" w:eastAsia="Arial" w:hAnsi="Arial" w:cs="Arial"/>
          <w:bCs/>
          <w:sz w:val="22"/>
          <w:szCs w:val="22"/>
        </w:rPr>
        <w:t>Ahora bien, en los últimos años se ha venido presentando un fenómeno derivado de su gestión presupuestal y es que se han generado acumulaciones de OPP que afectan el normal desarrollo de la gestión presupuestal que estos deben desarrollar. En este sentido, a partir de datos consolidados por la Veeduría Distrital (2023), a continuación, se presentan algunos elementos de análisis que permiten tener una aproximación general al problema de la acumulación de OPP en los FDL de Bogotá.</w:t>
      </w:r>
    </w:p>
    <w:p w14:paraId="0974476D" w14:textId="4C208701" w:rsidR="00452820" w:rsidRPr="0013233C" w:rsidRDefault="00452820" w:rsidP="00452820">
      <w:pPr>
        <w:pBdr>
          <w:left w:val="nil"/>
          <w:bottom w:val="nil"/>
          <w:right w:val="nil"/>
          <w:between w:val="nil"/>
        </w:pBdr>
        <w:jc w:val="both"/>
        <w:rPr>
          <w:rFonts w:ascii="Arial" w:eastAsia="Arial" w:hAnsi="Arial" w:cs="Arial"/>
          <w:bCs/>
          <w:sz w:val="22"/>
          <w:szCs w:val="22"/>
        </w:rPr>
      </w:pPr>
    </w:p>
    <w:p w14:paraId="4CE4D246" w14:textId="7143E7D9" w:rsidR="00452820" w:rsidRPr="0013233C" w:rsidRDefault="00452820" w:rsidP="00452820">
      <w:pPr>
        <w:jc w:val="both"/>
        <w:rPr>
          <w:rFonts w:ascii="Arial" w:hAnsi="Arial" w:cs="Arial"/>
          <w:sz w:val="22"/>
          <w:szCs w:val="22"/>
        </w:rPr>
      </w:pPr>
      <w:r w:rsidRPr="0013233C">
        <w:rPr>
          <w:rFonts w:ascii="Arial" w:eastAsia="Arial" w:hAnsi="Arial" w:cs="Arial"/>
          <w:bCs/>
          <w:sz w:val="22"/>
          <w:szCs w:val="22"/>
        </w:rPr>
        <w:t xml:space="preserve">Inicialmente, este ente de control distrital evidenció que, </w:t>
      </w:r>
      <w:r w:rsidRPr="0013233C">
        <w:rPr>
          <w:rFonts w:ascii="Arial" w:hAnsi="Arial" w:cs="Arial"/>
          <w:sz w:val="22"/>
          <w:szCs w:val="22"/>
          <w:u w:val="single"/>
        </w:rPr>
        <w:t>al 30 de septiembre de 2023</w:t>
      </w:r>
      <w:r w:rsidRPr="0013233C">
        <w:rPr>
          <w:rFonts w:ascii="Arial" w:hAnsi="Arial" w:cs="Arial"/>
          <w:sz w:val="22"/>
          <w:szCs w:val="22"/>
        </w:rPr>
        <w:t>, las obligaciones por pagar (OPP) por funcionamiento e inversión por parte de las loc</w:t>
      </w:r>
      <w:r w:rsidR="006B5508" w:rsidRPr="0013233C">
        <w:rPr>
          <w:rFonts w:ascii="Arial" w:hAnsi="Arial" w:cs="Arial"/>
          <w:sz w:val="22"/>
          <w:szCs w:val="22"/>
        </w:rPr>
        <w:t>alidades de Bogotá eran de $832.</w:t>
      </w:r>
      <w:r w:rsidRPr="0013233C">
        <w:rPr>
          <w:rFonts w:ascii="Arial" w:hAnsi="Arial" w:cs="Arial"/>
          <w:sz w:val="22"/>
          <w:szCs w:val="22"/>
        </w:rPr>
        <w:t>278 millones. Adicionalmente, se han generado compromisos t</w:t>
      </w:r>
      <w:r w:rsidR="008E1213" w:rsidRPr="0013233C">
        <w:rPr>
          <w:rFonts w:ascii="Arial" w:hAnsi="Arial" w:cs="Arial"/>
          <w:sz w:val="22"/>
          <w:szCs w:val="22"/>
        </w:rPr>
        <w:t>otales por un valor de $821</w:t>
      </w:r>
      <w:r w:rsidR="006B5508" w:rsidRPr="0013233C">
        <w:rPr>
          <w:rFonts w:ascii="Arial" w:hAnsi="Arial" w:cs="Arial"/>
          <w:sz w:val="22"/>
          <w:szCs w:val="22"/>
        </w:rPr>
        <w:t>.</w:t>
      </w:r>
      <w:r w:rsidR="008E1213" w:rsidRPr="0013233C">
        <w:rPr>
          <w:rFonts w:ascii="Arial" w:hAnsi="Arial" w:cs="Arial"/>
          <w:sz w:val="22"/>
          <w:szCs w:val="22"/>
        </w:rPr>
        <w:t xml:space="preserve">814 </w:t>
      </w:r>
      <w:r w:rsidRPr="0013233C">
        <w:rPr>
          <w:rFonts w:ascii="Arial" w:hAnsi="Arial" w:cs="Arial"/>
          <w:sz w:val="22"/>
          <w:szCs w:val="22"/>
        </w:rPr>
        <w:t xml:space="preserve">millones lo que equivale al 98.9% de los OPP. Sin embargo, de estos compromisos, solo se giraron, con corte al 30 de septiembre de 2023, $449.175 millones, </w:t>
      </w:r>
      <w:r w:rsidRPr="0013233C">
        <w:rPr>
          <w:rFonts w:ascii="Arial" w:hAnsi="Arial" w:cs="Arial"/>
          <w:b/>
          <w:sz w:val="22"/>
          <w:szCs w:val="22"/>
        </w:rPr>
        <w:t>correspondiente</w:t>
      </w:r>
      <w:r w:rsidR="006B5508" w:rsidRPr="0013233C">
        <w:rPr>
          <w:rFonts w:ascii="Arial" w:hAnsi="Arial" w:cs="Arial"/>
          <w:b/>
          <w:sz w:val="22"/>
          <w:szCs w:val="22"/>
        </w:rPr>
        <w:t xml:space="preserve"> solo</w:t>
      </w:r>
      <w:r w:rsidRPr="0013233C">
        <w:rPr>
          <w:rFonts w:ascii="Arial" w:hAnsi="Arial" w:cs="Arial"/>
          <w:b/>
          <w:sz w:val="22"/>
          <w:szCs w:val="22"/>
        </w:rPr>
        <w:t xml:space="preserve"> al 54% del total comprometido</w:t>
      </w:r>
      <w:r w:rsidRPr="0013233C">
        <w:rPr>
          <w:rFonts w:ascii="Arial" w:hAnsi="Arial" w:cs="Arial"/>
          <w:sz w:val="22"/>
          <w:szCs w:val="22"/>
        </w:rPr>
        <w:t>.</w:t>
      </w:r>
    </w:p>
    <w:p w14:paraId="0163B1AF" w14:textId="615E4067" w:rsidR="00452820" w:rsidRPr="0013233C" w:rsidRDefault="008E1213" w:rsidP="008E1213">
      <w:pPr>
        <w:pBdr>
          <w:left w:val="nil"/>
          <w:bottom w:val="nil"/>
          <w:right w:val="nil"/>
          <w:between w:val="nil"/>
        </w:pBdr>
        <w:tabs>
          <w:tab w:val="left" w:pos="2023"/>
        </w:tabs>
        <w:jc w:val="both"/>
        <w:rPr>
          <w:rFonts w:ascii="Arial" w:eastAsia="Arial" w:hAnsi="Arial" w:cs="Arial"/>
          <w:bCs/>
          <w:sz w:val="22"/>
          <w:szCs w:val="22"/>
        </w:rPr>
      </w:pPr>
      <w:r w:rsidRPr="0013233C">
        <w:rPr>
          <w:rFonts w:ascii="Arial" w:eastAsia="Arial" w:hAnsi="Arial" w:cs="Arial"/>
          <w:bCs/>
          <w:sz w:val="22"/>
          <w:szCs w:val="22"/>
        </w:rPr>
        <w:tab/>
      </w:r>
    </w:p>
    <w:p w14:paraId="68A4296A" w14:textId="6C49A25C" w:rsidR="00452820" w:rsidRDefault="00452820" w:rsidP="00452820">
      <w:pPr>
        <w:rPr>
          <w:rFonts w:ascii="Arial" w:eastAsia="Arial" w:hAnsi="Arial" w:cs="Arial"/>
          <w:bCs/>
          <w:sz w:val="22"/>
          <w:szCs w:val="22"/>
        </w:rPr>
      </w:pPr>
    </w:p>
    <w:p w14:paraId="568A1CBF" w14:textId="0B7DC1ED" w:rsidR="0013233C" w:rsidRDefault="0013233C" w:rsidP="00452820">
      <w:pPr>
        <w:rPr>
          <w:rFonts w:ascii="Arial" w:eastAsia="Arial" w:hAnsi="Arial" w:cs="Arial"/>
          <w:bCs/>
          <w:sz w:val="22"/>
          <w:szCs w:val="22"/>
        </w:rPr>
      </w:pPr>
    </w:p>
    <w:p w14:paraId="72856235" w14:textId="0215858A" w:rsidR="0013233C" w:rsidRDefault="0013233C" w:rsidP="00452820">
      <w:pPr>
        <w:rPr>
          <w:rFonts w:ascii="Arial" w:eastAsia="Arial" w:hAnsi="Arial" w:cs="Arial"/>
          <w:bCs/>
          <w:sz w:val="22"/>
          <w:szCs w:val="22"/>
        </w:rPr>
      </w:pPr>
    </w:p>
    <w:p w14:paraId="0EB0C365" w14:textId="77777777" w:rsidR="0013233C" w:rsidRPr="0013233C" w:rsidRDefault="0013233C" w:rsidP="00452820">
      <w:pPr>
        <w:rPr>
          <w:rFonts w:ascii="Arial" w:hAnsi="Arial" w:cs="Arial"/>
          <w:b/>
          <w:bCs/>
          <w:i/>
          <w:iCs/>
          <w:sz w:val="22"/>
          <w:szCs w:val="22"/>
          <w:u w:val="single"/>
        </w:rPr>
      </w:pPr>
    </w:p>
    <w:tbl>
      <w:tblPr>
        <w:tblStyle w:val="Tablaconcuadrcula"/>
        <w:tblW w:w="0" w:type="auto"/>
        <w:tblLook w:val="04A0" w:firstRow="1" w:lastRow="0" w:firstColumn="1" w:lastColumn="0" w:noHBand="0" w:noVBand="1"/>
      </w:tblPr>
      <w:tblGrid>
        <w:gridCol w:w="627"/>
        <w:gridCol w:w="1290"/>
        <w:gridCol w:w="1535"/>
        <w:gridCol w:w="1628"/>
        <w:gridCol w:w="1290"/>
        <w:gridCol w:w="1170"/>
        <w:gridCol w:w="1290"/>
      </w:tblGrid>
      <w:tr w:rsidR="00452820" w:rsidRPr="0013233C" w14:paraId="2D44F1D2" w14:textId="77777777" w:rsidTr="00452820">
        <w:trPr>
          <w:trHeight w:val="552"/>
        </w:trPr>
        <w:tc>
          <w:tcPr>
            <w:tcW w:w="8830" w:type="dxa"/>
            <w:gridSpan w:val="7"/>
            <w:noWrap/>
            <w:hideMark/>
          </w:tcPr>
          <w:p w14:paraId="7CD5B31A" w14:textId="77777777" w:rsidR="00452820" w:rsidRPr="0013233C" w:rsidRDefault="00452820" w:rsidP="00452820">
            <w:pPr>
              <w:jc w:val="center"/>
              <w:rPr>
                <w:rFonts w:ascii="Arial" w:hAnsi="Arial" w:cs="Arial"/>
                <w:b/>
                <w:bCs/>
                <w:sz w:val="21"/>
                <w:szCs w:val="21"/>
              </w:rPr>
            </w:pPr>
            <w:r w:rsidRPr="0013233C">
              <w:rPr>
                <w:rFonts w:ascii="Arial" w:hAnsi="Arial" w:cs="Arial"/>
                <w:b/>
                <w:bCs/>
                <w:sz w:val="21"/>
                <w:szCs w:val="21"/>
              </w:rPr>
              <w:t>Tabla 1. Valor de las Obligaciones por pagar con corte a 30 de septiembre de 2023 (Cifras en millones de pesos)</w:t>
            </w:r>
          </w:p>
        </w:tc>
      </w:tr>
      <w:tr w:rsidR="00452820" w:rsidRPr="0013233C" w14:paraId="7ECF98F2" w14:textId="77777777" w:rsidTr="00452820">
        <w:trPr>
          <w:trHeight w:val="645"/>
        </w:trPr>
        <w:tc>
          <w:tcPr>
            <w:tcW w:w="794" w:type="dxa"/>
            <w:hideMark/>
          </w:tcPr>
          <w:p w14:paraId="48FDC50E"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Nº</w:t>
            </w:r>
          </w:p>
        </w:tc>
        <w:tc>
          <w:tcPr>
            <w:tcW w:w="1261" w:type="dxa"/>
            <w:hideMark/>
          </w:tcPr>
          <w:p w14:paraId="4A7D73AA"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 xml:space="preserve">Localidad </w:t>
            </w:r>
          </w:p>
        </w:tc>
        <w:tc>
          <w:tcPr>
            <w:tcW w:w="1472" w:type="dxa"/>
            <w:hideMark/>
          </w:tcPr>
          <w:p w14:paraId="49CB28D5"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Obligaciones por pagar</w:t>
            </w:r>
          </w:p>
        </w:tc>
        <w:tc>
          <w:tcPr>
            <w:tcW w:w="1561" w:type="dxa"/>
            <w:hideMark/>
          </w:tcPr>
          <w:p w14:paraId="11EA58AF"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Compromisos</w:t>
            </w:r>
          </w:p>
        </w:tc>
        <w:tc>
          <w:tcPr>
            <w:tcW w:w="1261" w:type="dxa"/>
            <w:hideMark/>
          </w:tcPr>
          <w:p w14:paraId="6658FB3A"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Porcentaje Comp.</w:t>
            </w:r>
          </w:p>
        </w:tc>
        <w:tc>
          <w:tcPr>
            <w:tcW w:w="1220" w:type="dxa"/>
            <w:hideMark/>
          </w:tcPr>
          <w:p w14:paraId="7EAACF1C"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Giros</w:t>
            </w:r>
          </w:p>
        </w:tc>
        <w:tc>
          <w:tcPr>
            <w:tcW w:w="1261" w:type="dxa"/>
            <w:hideMark/>
          </w:tcPr>
          <w:p w14:paraId="79D86CB7"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Porcentaje de Giros</w:t>
            </w:r>
          </w:p>
        </w:tc>
      </w:tr>
      <w:tr w:rsidR="00452820" w:rsidRPr="0013233C" w14:paraId="7DCEAC09" w14:textId="77777777" w:rsidTr="00452820">
        <w:trPr>
          <w:trHeight w:val="405"/>
        </w:trPr>
        <w:tc>
          <w:tcPr>
            <w:tcW w:w="794" w:type="dxa"/>
            <w:hideMark/>
          </w:tcPr>
          <w:p w14:paraId="7D2B6E7A"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1</w:t>
            </w:r>
          </w:p>
        </w:tc>
        <w:tc>
          <w:tcPr>
            <w:tcW w:w="1261" w:type="dxa"/>
            <w:hideMark/>
          </w:tcPr>
          <w:p w14:paraId="063A3430"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Usaquén</w:t>
            </w:r>
          </w:p>
        </w:tc>
        <w:tc>
          <w:tcPr>
            <w:tcW w:w="1472" w:type="dxa"/>
            <w:hideMark/>
          </w:tcPr>
          <w:p w14:paraId="01F0BE47"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10,544</w:t>
            </w:r>
          </w:p>
        </w:tc>
        <w:tc>
          <w:tcPr>
            <w:tcW w:w="1561" w:type="dxa"/>
            <w:hideMark/>
          </w:tcPr>
          <w:p w14:paraId="0BC05D0C"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10,447</w:t>
            </w:r>
          </w:p>
        </w:tc>
        <w:tc>
          <w:tcPr>
            <w:tcW w:w="1261" w:type="dxa"/>
            <w:hideMark/>
          </w:tcPr>
          <w:p w14:paraId="6DBE5220"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99.1%</w:t>
            </w:r>
          </w:p>
        </w:tc>
        <w:tc>
          <w:tcPr>
            <w:tcW w:w="1220" w:type="dxa"/>
            <w:hideMark/>
          </w:tcPr>
          <w:p w14:paraId="3961925F"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7,925</w:t>
            </w:r>
          </w:p>
        </w:tc>
        <w:tc>
          <w:tcPr>
            <w:tcW w:w="1261" w:type="dxa"/>
            <w:hideMark/>
          </w:tcPr>
          <w:p w14:paraId="6F3921B2"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75.2%</w:t>
            </w:r>
          </w:p>
        </w:tc>
      </w:tr>
      <w:tr w:rsidR="00452820" w:rsidRPr="0013233C" w14:paraId="6285F43D" w14:textId="77777777" w:rsidTr="00452820">
        <w:trPr>
          <w:trHeight w:val="402"/>
        </w:trPr>
        <w:tc>
          <w:tcPr>
            <w:tcW w:w="794" w:type="dxa"/>
            <w:hideMark/>
          </w:tcPr>
          <w:p w14:paraId="7CAAD791"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2</w:t>
            </w:r>
          </w:p>
        </w:tc>
        <w:tc>
          <w:tcPr>
            <w:tcW w:w="1261" w:type="dxa"/>
            <w:hideMark/>
          </w:tcPr>
          <w:p w14:paraId="411CD115"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Chapinero</w:t>
            </w:r>
          </w:p>
        </w:tc>
        <w:tc>
          <w:tcPr>
            <w:tcW w:w="1472" w:type="dxa"/>
            <w:hideMark/>
          </w:tcPr>
          <w:p w14:paraId="098DF2C4"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19,85</w:t>
            </w:r>
          </w:p>
        </w:tc>
        <w:tc>
          <w:tcPr>
            <w:tcW w:w="1561" w:type="dxa"/>
            <w:hideMark/>
          </w:tcPr>
          <w:p w14:paraId="25A6FE67"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19,651</w:t>
            </w:r>
          </w:p>
        </w:tc>
        <w:tc>
          <w:tcPr>
            <w:tcW w:w="1261" w:type="dxa"/>
            <w:hideMark/>
          </w:tcPr>
          <w:p w14:paraId="127A8DE9"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99.0%</w:t>
            </w:r>
          </w:p>
        </w:tc>
        <w:tc>
          <w:tcPr>
            <w:tcW w:w="1220" w:type="dxa"/>
            <w:hideMark/>
          </w:tcPr>
          <w:p w14:paraId="02A2EAFB"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7,811</w:t>
            </w:r>
          </w:p>
        </w:tc>
        <w:tc>
          <w:tcPr>
            <w:tcW w:w="1261" w:type="dxa"/>
            <w:hideMark/>
          </w:tcPr>
          <w:p w14:paraId="3F1D4FAA"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39.4%</w:t>
            </w:r>
          </w:p>
        </w:tc>
      </w:tr>
      <w:tr w:rsidR="00452820" w:rsidRPr="0013233C" w14:paraId="7EFE5570" w14:textId="77777777" w:rsidTr="00452820">
        <w:trPr>
          <w:trHeight w:val="402"/>
        </w:trPr>
        <w:tc>
          <w:tcPr>
            <w:tcW w:w="794" w:type="dxa"/>
            <w:hideMark/>
          </w:tcPr>
          <w:p w14:paraId="47F7C3F1"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3</w:t>
            </w:r>
          </w:p>
        </w:tc>
        <w:tc>
          <w:tcPr>
            <w:tcW w:w="1261" w:type="dxa"/>
            <w:hideMark/>
          </w:tcPr>
          <w:p w14:paraId="0724D117"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Santafé</w:t>
            </w:r>
          </w:p>
        </w:tc>
        <w:tc>
          <w:tcPr>
            <w:tcW w:w="1472" w:type="dxa"/>
            <w:hideMark/>
          </w:tcPr>
          <w:p w14:paraId="2A761F59"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25,639</w:t>
            </w:r>
          </w:p>
        </w:tc>
        <w:tc>
          <w:tcPr>
            <w:tcW w:w="1561" w:type="dxa"/>
            <w:hideMark/>
          </w:tcPr>
          <w:p w14:paraId="109D5175"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25,513</w:t>
            </w:r>
          </w:p>
        </w:tc>
        <w:tc>
          <w:tcPr>
            <w:tcW w:w="1261" w:type="dxa"/>
            <w:hideMark/>
          </w:tcPr>
          <w:p w14:paraId="7E4AAAD9"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99.5%</w:t>
            </w:r>
          </w:p>
        </w:tc>
        <w:tc>
          <w:tcPr>
            <w:tcW w:w="1220" w:type="dxa"/>
            <w:hideMark/>
          </w:tcPr>
          <w:p w14:paraId="118953A0"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10,411</w:t>
            </w:r>
          </w:p>
        </w:tc>
        <w:tc>
          <w:tcPr>
            <w:tcW w:w="1261" w:type="dxa"/>
            <w:hideMark/>
          </w:tcPr>
          <w:p w14:paraId="5C59E04A"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40.6%</w:t>
            </w:r>
          </w:p>
        </w:tc>
      </w:tr>
      <w:tr w:rsidR="00452820" w:rsidRPr="0013233C" w14:paraId="08069AFE" w14:textId="77777777" w:rsidTr="00452820">
        <w:trPr>
          <w:trHeight w:val="402"/>
        </w:trPr>
        <w:tc>
          <w:tcPr>
            <w:tcW w:w="794" w:type="dxa"/>
            <w:hideMark/>
          </w:tcPr>
          <w:p w14:paraId="7E20B2BA"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4</w:t>
            </w:r>
          </w:p>
        </w:tc>
        <w:tc>
          <w:tcPr>
            <w:tcW w:w="1261" w:type="dxa"/>
            <w:hideMark/>
          </w:tcPr>
          <w:p w14:paraId="47759250"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San Cristóbal</w:t>
            </w:r>
          </w:p>
        </w:tc>
        <w:tc>
          <w:tcPr>
            <w:tcW w:w="1472" w:type="dxa"/>
            <w:hideMark/>
          </w:tcPr>
          <w:p w14:paraId="047AF3F0"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50,078</w:t>
            </w:r>
          </w:p>
        </w:tc>
        <w:tc>
          <w:tcPr>
            <w:tcW w:w="1561" w:type="dxa"/>
            <w:hideMark/>
          </w:tcPr>
          <w:p w14:paraId="7BECEEBD"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49,37</w:t>
            </w:r>
          </w:p>
        </w:tc>
        <w:tc>
          <w:tcPr>
            <w:tcW w:w="1261" w:type="dxa"/>
            <w:hideMark/>
          </w:tcPr>
          <w:p w14:paraId="4B8FBD79"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98.6%</w:t>
            </w:r>
          </w:p>
        </w:tc>
        <w:tc>
          <w:tcPr>
            <w:tcW w:w="1220" w:type="dxa"/>
            <w:hideMark/>
          </w:tcPr>
          <w:p w14:paraId="6464ABB0"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29,892</w:t>
            </w:r>
          </w:p>
        </w:tc>
        <w:tc>
          <w:tcPr>
            <w:tcW w:w="1261" w:type="dxa"/>
            <w:hideMark/>
          </w:tcPr>
          <w:p w14:paraId="051B6BE3"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59.7%</w:t>
            </w:r>
          </w:p>
        </w:tc>
      </w:tr>
      <w:tr w:rsidR="00452820" w:rsidRPr="0013233C" w14:paraId="4F5DA62D" w14:textId="77777777" w:rsidTr="00452820">
        <w:trPr>
          <w:trHeight w:val="402"/>
        </w:trPr>
        <w:tc>
          <w:tcPr>
            <w:tcW w:w="794" w:type="dxa"/>
            <w:hideMark/>
          </w:tcPr>
          <w:p w14:paraId="0074A63E"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5</w:t>
            </w:r>
          </w:p>
        </w:tc>
        <w:tc>
          <w:tcPr>
            <w:tcW w:w="1261" w:type="dxa"/>
            <w:hideMark/>
          </w:tcPr>
          <w:p w14:paraId="161A5332"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Usme</w:t>
            </w:r>
          </w:p>
        </w:tc>
        <w:tc>
          <w:tcPr>
            <w:tcW w:w="1472" w:type="dxa"/>
            <w:hideMark/>
          </w:tcPr>
          <w:p w14:paraId="0AF66143"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75,565</w:t>
            </w:r>
          </w:p>
        </w:tc>
        <w:tc>
          <w:tcPr>
            <w:tcW w:w="1561" w:type="dxa"/>
            <w:hideMark/>
          </w:tcPr>
          <w:p w14:paraId="28FDF9E1"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75,163</w:t>
            </w:r>
          </w:p>
        </w:tc>
        <w:tc>
          <w:tcPr>
            <w:tcW w:w="1261" w:type="dxa"/>
            <w:hideMark/>
          </w:tcPr>
          <w:p w14:paraId="32680737"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99.5%</w:t>
            </w:r>
          </w:p>
        </w:tc>
        <w:tc>
          <w:tcPr>
            <w:tcW w:w="1220" w:type="dxa"/>
            <w:hideMark/>
          </w:tcPr>
          <w:p w14:paraId="5BE99C56"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31,245</w:t>
            </w:r>
          </w:p>
        </w:tc>
        <w:tc>
          <w:tcPr>
            <w:tcW w:w="1261" w:type="dxa"/>
            <w:hideMark/>
          </w:tcPr>
          <w:p w14:paraId="2C1F7F26"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41.3%</w:t>
            </w:r>
          </w:p>
        </w:tc>
      </w:tr>
      <w:tr w:rsidR="00452820" w:rsidRPr="0013233C" w14:paraId="54AC631D" w14:textId="77777777" w:rsidTr="00452820">
        <w:trPr>
          <w:trHeight w:val="402"/>
        </w:trPr>
        <w:tc>
          <w:tcPr>
            <w:tcW w:w="794" w:type="dxa"/>
            <w:hideMark/>
          </w:tcPr>
          <w:p w14:paraId="56BCF03A"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6</w:t>
            </w:r>
          </w:p>
        </w:tc>
        <w:tc>
          <w:tcPr>
            <w:tcW w:w="1261" w:type="dxa"/>
            <w:hideMark/>
          </w:tcPr>
          <w:p w14:paraId="2958BFC8"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Tunjuelito</w:t>
            </w:r>
          </w:p>
        </w:tc>
        <w:tc>
          <w:tcPr>
            <w:tcW w:w="1472" w:type="dxa"/>
            <w:hideMark/>
          </w:tcPr>
          <w:p w14:paraId="4CC225E9"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26,308</w:t>
            </w:r>
          </w:p>
        </w:tc>
        <w:tc>
          <w:tcPr>
            <w:tcW w:w="1561" w:type="dxa"/>
            <w:hideMark/>
          </w:tcPr>
          <w:p w14:paraId="4F3535B5"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25,908</w:t>
            </w:r>
          </w:p>
        </w:tc>
        <w:tc>
          <w:tcPr>
            <w:tcW w:w="1261" w:type="dxa"/>
            <w:hideMark/>
          </w:tcPr>
          <w:p w14:paraId="475A4755"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98.5%</w:t>
            </w:r>
          </w:p>
        </w:tc>
        <w:tc>
          <w:tcPr>
            <w:tcW w:w="1220" w:type="dxa"/>
            <w:hideMark/>
          </w:tcPr>
          <w:p w14:paraId="6D6F54E7"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12,369</w:t>
            </w:r>
          </w:p>
        </w:tc>
        <w:tc>
          <w:tcPr>
            <w:tcW w:w="1261" w:type="dxa"/>
            <w:hideMark/>
          </w:tcPr>
          <w:p w14:paraId="631917A1"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47.0%</w:t>
            </w:r>
          </w:p>
        </w:tc>
      </w:tr>
      <w:tr w:rsidR="00452820" w:rsidRPr="0013233C" w14:paraId="37CABBF6" w14:textId="77777777" w:rsidTr="00452820">
        <w:trPr>
          <w:trHeight w:val="402"/>
        </w:trPr>
        <w:tc>
          <w:tcPr>
            <w:tcW w:w="794" w:type="dxa"/>
            <w:hideMark/>
          </w:tcPr>
          <w:p w14:paraId="74633163"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7</w:t>
            </w:r>
          </w:p>
        </w:tc>
        <w:tc>
          <w:tcPr>
            <w:tcW w:w="1261" w:type="dxa"/>
            <w:hideMark/>
          </w:tcPr>
          <w:p w14:paraId="1C6AABB6"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Bosa</w:t>
            </w:r>
          </w:p>
        </w:tc>
        <w:tc>
          <w:tcPr>
            <w:tcW w:w="1472" w:type="dxa"/>
            <w:hideMark/>
          </w:tcPr>
          <w:p w14:paraId="434A2BA0"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62,762</w:t>
            </w:r>
          </w:p>
        </w:tc>
        <w:tc>
          <w:tcPr>
            <w:tcW w:w="1561" w:type="dxa"/>
            <w:hideMark/>
          </w:tcPr>
          <w:p w14:paraId="0F78700C"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61,527</w:t>
            </w:r>
          </w:p>
        </w:tc>
        <w:tc>
          <w:tcPr>
            <w:tcW w:w="1261" w:type="dxa"/>
            <w:hideMark/>
          </w:tcPr>
          <w:p w14:paraId="1A6F2473"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98.0%</w:t>
            </w:r>
          </w:p>
        </w:tc>
        <w:tc>
          <w:tcPr>
            <w:tcW w:w="1220" w:type="dxa"/>
            <w:hideMark/>
          </w:tcPr>
          <w:p w14:paraId="34D60A13"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31,481</w:t>
            </w:r>
          </w:p>
        </w:tc>
        <w:tc>
          <w:tcPr>
            <w:tcW w:w="1261" w:type="dxa"/>
            <w:hideMark/>
          </w:tcPr>
          <w:p w14:paraId="124D3A85"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50.2%</w:t>
            </w:r>
          </w:p>
        </w:tc>
      </w:tr>
      <w:tr w:rsidR="00452820" w:rsidRPr="0013233C" w14:paraId="016CE6C3" w14:textId="77777777" w:rsidTr="00452820">
        <w:trPr>
          <w:trHeight w:val="402"/>
        </w:trPr>
        <w:tc>
          <w:tcPr>
            <w:tcW w:w="794" w:type="dxa"/>
            <w:hideMark/>
          </w:tcPr>
          <w:p w14:paraId="77999651"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8</w:t>
            </w:r>
          </w:p>
        </w:tc>
        <w:tc>
          <w:tcPr>
            <w:tcW w:w="1261" w:type="dxa"/>
            <w:hideMark/>
          </w:tcPr>
          <w:p w14:paraId="5A28AC57"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Kennedy</w:t>
            </w:r>
          </w:p>
        </w:tc>
        <w:tc>
          <w:tcPr>
            <w:tcW w:w="1472" w:type="dxa"/>
            <w:hideMark/>
          </w:tcPr>
          <w:p w14:paraId="65687CD0"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91,008</w:t>
            </w:r>
          </w:p>
        </w:tc>
        <w:tc>
          <w:tcPr>
            <w:tcW w:w="1561" w:type="dxa"/>
            <w:hideMark/>
          </w:tcPr>
          <w:p w14:paraId="74893763"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89,079</w:t>
            </w:r>
          </w:p>
        </w:tc>
        <w:tc>
          <w:tcPr>
            <w:tcW w:w="1261" w:type="dxa"/>
            <w:hideMark/>
          </w:tcPr>
          <w:p w14:paraId="4F1ECC85"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97.9%</w:t>
            </w:r>
          </w:p>
        </w:tc>
        <w:tc>
          <w:tcPr>
            <w:tcW w:w="1220" w:type="dxa"/>
            <w:hideMark/>
          </w:tcPr>
          <w:p w14:paraId="6B98F862"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54,596</w:t>
            </w:r>
          </w:p>
        </w:tc>
        <w:tc>
          <w:tcPr>
            <w:tcW w:w="1261" w:type="dxa"/>
            <w:hideMark/>
          </w:tcPr>
          <w:p w14:paraId="667DC148"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60.0%</w:t>
            </w:r>
          </w:p>
        </w:tc>
      </w:tr>
      <w:tr w:rsidR="00452820" w:rsidRPr="0013233C" w14:paraId="4BF0B3A9" w14:textId="77777777" w:rsidTr="00452820">
        <w:trPr>
          <w:trHeight w:val="402"/>
        </w:trPr>
        <w:tc>
          <w:tcPr>
            <w:tcW w:w="794" w:type="dxa"/>
            <w:hideMark/>
          </w:tcPr>
          <w:p w14:paraId="49DD8721"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9</w:t>
            </w:r>
          </w:p>
        </w:tc>
        <w:tc>
          <w:tcPr>
            <w:tcW w:w="1261" w:type="dxa"/>
            <w:hideMark/>
          </w:tcPr>
          <w:p w14:paraId="5295D0FC"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 xml:space="preserve">Fontibón </w:t>
            </w:r>
          </w:p>
        </w:tc>
        <w:tc>
          <w:tcPr>
            <w:tcW w:w="1472" w:type="dxa"/>
            <w:hideMark/>
          </w:tcPr>
          <w:p w14:paraId="587F2A3D"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53,36</w:t>
            </w:r>
          </w:p>
        </w:tc>
        <w:tc>
          <w:tcPr>
            <w:tcW w:w="1561" w:type="dxa"/>
            <w:hideMark/>
          </w:tcPr>
          <w:p w14:paraId="21844612"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53,217</w:t>
            </w:r>
          </w:p>
        </w:tc>
        <w:tc>
          <w:tcPr>
            <w:tcW w:w="1261" w:type="dxa"/>
            <w:hideMark/>
          </w:tcPr>
          <w:p w14:paraId="6A80E732"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99.7%</w:t>
            </w:r>
          </w:p>
        </w:tc>
        <w:tc>
          <w:tcPr>
            <w:tcW w:w="1220" w:type="dxa"/>
            <w:hideMark/>
          </w:tcPr>
          <w:p w14:paraId="6E324E04"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28,068</w:t>
            </w:r>
          </w:p>
        </w:tc>
        <w:tc>
          <w:tcPr>
            <w:tcW w:w="1261" w:type="dxa"/>
            <w:hideMark/>
          </w:tcPr>
          <w:p w14:paraId="1AE7DC07"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52.6%</w:t>
            </w:r>
          </w:p>
        </w:tc>
      </w:tr>
      <w:tr w:rsidR="00452820" w:rsidRPr="0013233C" w14:paraId="27B1FDDB" w14:textId="77777777" w:rsidTr="00452820">
        <w:trPr>
          <w:trHeight w:val="402"/>
        </w:trPr>
        <w:tc>
          <w:tcPr>
            <w:tcW w:w="794" w:type="dxa"/>
            <w:hideMark/>
          </w:tcPr>
          <w:p w14:paraId="6C29404B"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10</w:t>
            </w:r>
          </w:p>
        </w:tc>
        <w:tc>
          <w:tcPr>
            <w:tcW w:w="1261" w:type="dxa"/>
            <w:hideMark/>
          </w:tcPr>
          <w:p w14:paraId="05947EA7"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Engativá</w:t>
            </w:r>
          </w:p>
        </w:tc>
        <w:tc>
          <w:tcPr>
            <w:tcW w:w="1472" w:type="dxa"/>
            <w:hideMark/>
          </w:tcPr>
          <w:p w14:paraId="2CCB7475"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46,233</w:t>
            </w:r>
          </w:p>
        </w:tc>
        <w:tc>
          <w:tcPr>
            <w:tcW w:w="1561" w:type="dxa"/>
            <w:hideMark/>
          </w:tcPr>
          <w:p w14:paraId="143F714B"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45,696</w:t>
            </w:r>
          </w:p>
        </w:tc>
        <w:tc>
          <w:tcPr>
            <w:tcW w:w="1261" w:type="dxa"/>
            <w:hideMark/>
          </w:tcPr>
          <w:p w14:paraId="60E9F3FB"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98.8%</w:t>
            </w:r>
          </w:p>
        </w:tc>
        <w:tc>
          <w:tcPr>
            <w:tcW w:w="1220" w:type="dxa"/>
            <w:hideMark/>
          </w:tcPr>
          <w:p w14:paraId="0A41C4B2"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31,797</w:t>
            </w:r>
          </w:p>
        </w:tc>
        <w:tc>
          <w:tcPr>
            <w:tcW w:w="1261" w:type="dxa"/>
            <w:hideMark/>
          </w:tcPr>
          <w:p w14:paraId="18239258"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68.8%</w:t>
            </w:r>
          </w:p>
        </w:tc>
      </w:tr>
      <w:tr w:rsidR="00452820" w:rsidRPr="0013233C" w14:paraId="3DFC7F40" w14:textId="77777777" w:rsidTr="00452820">
        <w:trPr>
          <w:trHeight w:val="402"/>
        </w:trPr>
        <w:tc>
          <w:tcPr>
            <w:tcW w:w="794" w:type="dxa"/>
            <w:hideMark/>
          </w:tcPr>
          <w:p w14:paraId="726483C3"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11</w:t>
            </w:r>
          </w:p>
        </w:tc>
        <w:tc>
          <w:tcPr>
            <w:tcW w:w="1261" w:type="dxa"/>
            <w:hideMark/>
          </w:tcPr>
          <w:p w14:paraId="151FBB71"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Suba</w:t>
            </w:r>
          </w:p>
        </w:tc>
        <w:tc>
          <w:tcPr>
            <w:tcW w:w="1472" w:type="dxa"/>
            <w:hideMark/>
          </w:tcPr>
          <w:p w14:paraId="7D668B3B"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71,113</w:t>
            </w:r>
          </w:p>
        </w:tc>
        <w:tc>
          <w:tcPr>
            <w:tcW w:w="1561" w:type="dxa"/>
            <w:hideMark/>
          </w:tcPr>
          <w:p w14:paraId="61F84494"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69,438</w:t>
            </w:r>
          </w:p>
        </w:tc>
        <w:tc>
          <w:tcPr>
            <w:tcW w:w="1261" w:type="dxa"/>
            <w:hideMark/>
          </w:tcPr>
          <w:p w14:paraId="0C6BBC35"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97.6%</w:t>
            </w:r>
          </w:p>
        </w:tc>
        <w:tc>
          <w:tcPr>
            <w:tcW w:w="1220" w:type="dxa"/>
            <w:hideMark/>
          </w:tcPr>
          <w:p w14:paraId="1C1FF9F3"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47,25</w:t>
            </w:r>
          </w:p>
        </w:tc>
        <w:tc>
          <w:tcPr>
            <w:tcW w:w="1261" w:type="dxa"/>
            <w:hideMark/>
          </w:tcPr>
          <w:p w14:paraId="11C497B4"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66.4%</w:t>
            </w:r>
          </w:p>
        </w:tc>
      </w:tr>
      <w:tr w:rsidR="00452820" w:rsidRPr="0013233C" w14:paraId="28F24C4B" w14:textId="77777777" w:rsidTr="00452820">
        <w:trPr>
          <w:trHeight w:val="402"/>
        </w:trPr>
        <w:tc>
          <w:tcPr>
            <w:tcW w:w="794" w:type="dxa"/>
            <w:hideMark/>
          </w:tcPr>
          <w:p w14:paraId="1AAA9032"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12</w:t>
            </w:r>
          </w:p>
        </w:tc>
        <w:tc>
          <w:tcPr>
            <w:tcW w:w="1261" w:type="dxa"/>
            <w:hideMark/>
          </w:tcPr>
          <w:p w14:paraId="1C6A8EC1"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Barrios Unidos</w:t>
            </w:r>
          </w:p>
        </w:tc>
        <w:tc>
          <w:tcPr>
            <w:tcW w:w="1472" w:type="dxa"/>
            <w:hideMark/>
          </w:tcPr>
          <w:p w14:paraId="3EF34B9E"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13,131</w:t>
            </w:r>
          </w:p>
        </w:tc>
        <w:tc>
          <w:tcPr>
            <w:tcW w:w="1561" w:type="dxa"/>
            <w:hideMark/>
          </w:tcPr>
          <w:p w14:paraId="16A8CD82"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13,021</w:t>
            </w:r>
          </w:p>
        </w:tc>
        <w:tc>
          <w:tcPr>
            <w:tcW w:w="1261" w:type="dxa"/>
            <w:hideMark/>
          </w:tcPr>
          <w:p w14:paraId="64E0B749"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99.2%</w:t>
            </w:r>
          </w:p>
        </w:tc>
        <w:tc>
          <w:tcPr>
            <w:tcW w:w="1220" w:type="dxa"/>
            <w:hideMark/>
          </w:tcPr>
          <w:p w14:paraId="1BE45B2A"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9,75</w:t>
            </w:r>
          </w:p>
        </w:tc>
        <w:tc>
          <w:tcPr>
            <w:tcW w:w="1261" w:type="dxa"/>
            <w:hideMark/>
          </w:tcPr>
          <w:p w14:paraId="228A2676"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74.3%</w:t>
            </w:r>
          </w:p>
        </w:tc>
      </w:tr>
      <w:tr w:rsidR="00452820" w:rsidRPr="0013233C" w14:paraId="0DE4C42D" w14:textId="77777777" w:rsidTr="00452820">
        <w:trPr>
          <w:trHeight w:val="402"/>
        </w:trPr>
        <w:tc>
          <w:tcPr>
            <w:tcW w:w="794" w:type="dxa"/>
            <w:hideMark/>
          </w:tcPr>
          <w:p w14:paraId="7265A166"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13</w:t>
            </w:r>
          </w:p>
        </w:tc>
        <w:tc>
          <w:tcPr>
            <w:tcW w:w="1261" w:type="dxa"/>
            <w:hideMark/>
          </w:tcPr>
          <w:p w14:paraId="3FEDC32F"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 xml:space="preserve">Teusaquillo </w:t>
            </w:r>
          </w:p>
        </w:tc>
        <w:tc>
          <w:tcPr>
            <w:tcW w:w="1472" w:type="dxa"/>
            <w:hideMark/>
          </w:tcPr>
          <w:p w14:paraId="1F65C91A"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17,459</w:t>
            </w:r>
          </w:p>
        </w:tc>
        <w:tc>
          <w:tcPr>
            <w:tcW w:w="1561" w:type="dxa"/>
            <w:hideMark/>
          </w:tcPr>
          <w:p w14:paraId="1EE0BAEC"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17,303</w:t>
            </w:r>
          </w:p>
        </w:tc>
        <w:tc>
          <w:tcPr>
            <w:tcW w:w="1261" w:type="dxa"/>
            <w:hideMark/>
          </w:tcPr>
          <w:p w14:paraId="2E6FA65C"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99.1%</w:t>
            </w:r>
          </w:p>
        </w:tc>
        <w:tc>
          <w:tcPr>
            <w:tcW w:w="1220" w:type="dxa"/>
            <w:hideMark/>
          </w:tcPr>
          <w:p w14:paraId="0C4DDADC"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6,618</w:t>
            </w:r>
          </w:p>
        </w:tc>
        <w:tc>
          <w:tcPr>
            <w:tcW w:w="1261" w:type="dxa"/>
            <w:hideMark/>
          </w:tcPr>
          <w:p w14:paraId="21D1EFAF"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37.9%</w:t>
            </w:r>
          </w:p>
        </w:tc>
      </w:tr>
      <w:tr w:rsidR="00452820" w:rsidRPr="0013233C" w14:paraId="470583F6" w14:textId="77777777" w:rsidTr="00452820">
        <w:trPr>
          <w:trHeight w:val="402"/>
        </w:trPr>
        <w:tc>
          <w:tcPr>
            <w:tcW w:w="794" w:type="dxa"/>
            <w:hideMark/>
          </w:tcPr>
          <w:p w14:paraId="1C469D49"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14</w:t>
            </w:r>
          </w:p>
        </w:tc>
        <w:tc>
          <w:tcPr>
            <w:tcW w:w="1261" w:type="dxa"/>
            <w:hideMark/>
          </w:tcPr>
          <w:p w14:paraId="5C0CB011"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Los Mártires</w:t>
            </w:r>
          </w:p>
        </w:tc>
        <w:tc>
          <w:tcPr>
            <w:tcW w:w="1472" w:type="dxa"/>
            <w:hideMark/>
          </w:tcPr>
          <w:p w14:paraId="6DCB5F01"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21,365</w:t>
            </w:r>
          </w:p>
        </w:tc>
        <w:tc>
          <w:tcPr>
            <w:tcW w:w="1561" w:type="dxa"/>
            <w:hideMark/>
          </w:tcPr>
          <w:p w14:paraId="2E08999B"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21,113</w:t>
            </w:r>
          </w:p>
        </w:tc>
        <w:tc>
          <w:tcPr>
            <w:tcW w:w="1261" w:type="dxa"/>
            <w:hideMark/>
          </w:tcPr>
          <w:p w14:paraId="1AF9AD0C"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98.8%</w:t>
            </w:r>
          </w:p>
        </w:tc>
        <w:tc>
          <w:tcPr>
            <w:tcW w:w="1220" w:type="dxa"/>
            <w:hideMark/>
          </w:tcPr>
          <w:p w14:paraId="777061C0"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4,394</w:t>
            </w:r>
          </w:p>
        </w:tc>
        <w:tc>
          <w:tcPr>
            <w:tcW w:w="1261" w:type="dxa"/>
            <w:hideMark/>
          </w:tcPr>
          <w:p w14:paraId="2D62EC07"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20.6%</w:t>
            </w:r>
          </w:p>
        </w:tc>
      </w:tr>
      <w:tr w:rsidR="00452820" w:rsidRPr="0013233C" w14:paraId="1597D0E1" w14:textId="77777777" w:rsidTr="00452820">
        <w:trPr>
          <w:trHeight w:val="402"/>
        </w:trPr>
        <w:tc>
          <w:tcPr>
            <w:tcW w:w="794" w:type="dxa"/>
            <w:hideMark/>
          </w:tcPr>
          <w:p w14:paraId="39A44FC8"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15</w:t>
            </w:r>
          </w:p>
        </w:tc>
        <w:tc>
          <w:tcPr>
            <w:tcW w:w="1261" w:type="dxa"/>
            <w:hideMark/>
          </w:tcPr>
          <w:p w14:paraId="6F957635"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Antonio Nariño</w:t>
            </w:r>
          </w:p>
        </w:tc>
        <w:tc>
          <w:tcPr>
            <w:tcW w:w="1472" w:type="dxa"/>
            <w:hideMark/>
          </w:tcPr>
          <w:p w14:paraId="53E4C531"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15,087</w:t>
            </w:r>
          </w:p>
        </w:tc>
        <w:tc>
          <w:tcPr>
            <w:tcW w:w="1561" w:type="dxa"/>
            <w:hideMark/>
          </w:tcPr>
          <w:p w14:paraId="0A6DBF0C"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14,928</w:t>
            </w:r>
          </w:p>
        </w:tc>
        <w:tc>
          <w:tcPr>
            <w:tcW w:w="1261" w:type="dxa"/>
            <w:hideMark/>
          </w:tcPr>
          <w:p w14:paraId="2F46E575"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98.9%</w:t>
            </w:r>
          </w:p>
        </w:tc>
        <w:tc>
          <w:tcPr>
            <w:tcW w:w="1220" w:type="dxa"/>
            <w:hideMark/>
          </w:tcPr>
          <w:p w14:paraId="4DDD98E3"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6,84</w:t>
            </w:r>
          </w:p>
        </w:tc>
        <w:tc>
          <w:tcPr>
            <w:tcW w:w="1261" w:type="dxa"/>
            <w:hideMark/>
          </w:tcPr>
          <w:p w14:paraId="493F1F12"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45.3%</w:t>
            </w:r>
          </w:p>
        </w:tc>
      </w:tr>
      <w:tr w:rsidR="00452820" w:rsidRPr="0013233C" w14:paraId="20DF564C" w14:textId="77777777" w:rsidTr="00452820">
        <w:trPr>
          <w:trHeight w:val="402"/>
        </w:trPr>
        <w:tc>
          <w:tcPr>
            <w:tcW w:w="794" w:type="dxa"/>
            <w:hideMark/>
          </w:tcPr>
          <w:p w14:paraId="7C350B52"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16</w:t>
            </w:r>
          </w:p>
        </w:tc>
        <w:tc>
          <w:tcPr>
            <w:tcW w:w="1261" w:type="dxa"/>
            <w:hideMark/>
          </w:tcPr>
          <w:p w14:paraId="1A0042DA"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Puente Aranda</w:t>
            </w:r>
          </w:p>
        </w:tc>
        <w:tc>
          <w:tcPr>
            <w:tcW w:w="1472" w:type="dxa"/>
            <w:hideMark/>
          </w:tcPr>
          <w:p w14:paraId="171154A1"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23,155</w:t>
            </w:r>
          </w:p>
        </w:tc>
        <w:tc>
          <w:tcPr>
            <w:tcW w:w="1561" w:type="dxa"/>
            <w:hideMark/>
          </w:tcPr>
          <w:p w14:paraId="0EE85725"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23,082</w:t>
            </w:r>
          </w:p>
        </w:tc>
        <w:tc>
          <w:tcPr>
            <w:tcW w:w="1261" w:type="dxa"/>
            <w:hideMark/>
          </w:tcPr>
          <w:p w14:paraId="0263D1D4"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99.7%</w:t>
            </w:r>
          </w:p>
        </w:tc>
        <w:tc>
          <w:tcPr>
            <w:tcW w:w="1220" w:type="dxa"/>
            <w:hideMark/>
          </w:tcPr>
          <w:p w14:paraId="4A756C03"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10,61</w:t>
            </w:r>
          </w:p>
        </w:tc>
        <w:tc>
          <w:tcPr>
            <w:tcW w:w="1261" w:type="dxa"/>
            <w:hideMark/>
          </w:tcPr>
          <w:p w14:paraId="15BD7933"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45.8%</w:t>
            </w:r>
          </w:p>
        </w:tc>
      </w:tr>
      <w:tr w:rsidR="00452820" w:rsidRPr="0013233C" w14:paraId="34CE38DB" w14:textId="77777777" w:rsidTr="00452820">
        <w:trPr>
          <w:trHeight w:val="402"/>
        </w:trPr>
        <w:tc>
          <w:tcPr>
            <w:tcW w:w="794" w:type="dxa"/>
            <w:hideMark/>
          </w:tcPr>
          <w:p w14:paraId="32FE6100"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17</w:t>
            </w:r>
          </w:p>
        </w:tc>
        <w:tc>
          <w:tcPr>
            <w:tcW w:w="1261" w:type="dxa"/>
            <w:hideMark/>
          </w:tcPr>
          <w:p w14:paraId="63DC0A19"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 xml:space="preserve">La Candelaria </w:t>
            </w:r>
          </w:p>
        </w:tc>
        <w:tc>
          <w:tcPr>
            <w:tcW w:w="1472" w:type="dxa"/>
            <w:hideMark/>
          </w:tcPr>
          <w:p w14:paraId="0B7C5DC4"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7,302</w:t>
            </w:r>
          </w:p>
        </w:tc>
        <w:tc>
          <w:tcPr>
            <w:tcW w:w="1561" w:type="dxa"/>
            <w:hideMark/>
          </w:tcPr>
          <w:p w14:paraId="3D25E545"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7,259</w:t>
            </w:r>
          </w:p>
        </w:tc>
        <w:tc>
          <w:tcPr>
            <w:tcW w:w="1261" w:type="dxa"/>
            <w:hideMark/>
          </w:tcPr>
          <w:p w14:paraId="71D96354"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99.4%</w:t>
            </w:r>
          </w:p>
        </w:tc>
        <w:tc>
          <w:tcPr>
            <w:tcW w:w="1220" w:type="dxa"/>
            <w:hideMark/>
          </w:tcPr>
          <w:p w14:paraId="3BC4707F"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3,684</w:t>
            </w:r>
          </w:p>
        </w:tc>
        <w:tc>
          <w:tcPr>
            <w:tcW w:w="1261" w:type="dxa"/>
            <w:hideMark/>
          </w:tcPr>
          <w:p w14:paraId="7A1C9006"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50.5%</w:t>
            </w:r>
          </w:p>
        </w:tc>
      </w:tr>
      <w:tr w:rsidR="00452820" w:rsidRPr="0013233C" w14:paraId="0BA94764" w14:textId="77777777" w:rsidTr="00452820">
        <w:trPr>
          <w:trHeight w:val="402"/>
        </w:trPr>
        <w:tc>
          <w:tcPr>
            <w:tcW w:w="794" w:type="dxa"/>
            <w:hideMark/>
          </w:tcPr>
          <w:p w14:paraId="6667FB01"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18</w:t>
            </w:r>
          </w:p>
        </w:tc>
        <w:tc>
          <w:tcPr>
            <w:tcW w:w="1261" w:type="dxa"/>
            <w:hideMark/>
          </w:tcPr>
          <w:p w14:paraId="3E154036"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Rafael Uribe</w:t>
            </w:r>
          </w:p>
        </w:tc>
        <w:tc>
          <w:tcPr>
            <w:tcW w:w="1472" w:type="dxa"/>
            <w:hideMark/>
          </w:tcPr>
          <w:p w14:paraId="504D3234"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54,135</w:t>
            </w:r>
          </w:p>
        </w:tc>
        <w:tc>
          <w:tcPr>
            <w:tcW w:w="1561" w:type="dxa"/>
            <w:hideMark/>
          </w:tcPr>
          <w:p w14:paraId="3C8BE5E2"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53,555</w:t>
            </w:r>
          </w:p>
        </w:tc>
        <w:tc>
          <w:tcPr>
            <w:tcW w:w="1261" w:type="dxa"/>
            <w:hideMark/>
          </w:tcPr>
          <w:p w14:paraId="5DFEE5A4"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98.9%</w:t>
            </w:r>
          </w:p>
        </w:tc>
        <w:tc>
          <w:tcPr>
            <w:tcW w:w="1220" w:type="dxa"/>
            <w:hideMark/>
          </w:tcPr>
          <w:p w14:paraId="16BCBCEA"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31,925</w:t>
            </w:r>
          </w:p>
        </w:tc>
        <w:tc>
          <w:tcPr>
            <w:tcW w:w="1261" w:type="dxa"/>
            <w:hideMark/>
          </w:tcPr>
          <w:p w14:paraId="61A82BE8"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59.0%</w:t>
            </w:r>
          </w:p>
        </w:tc>
      </w:tr>
      <w:tr w:rsidR="00452820" w:rsidRPr="0013233C" w14:paraId="2A56DD0A" w14:textId="77777777" w:rsidTr="00452820">
        <w:trPr>
          <w:trHeight w:val="402"/>
        </w:trPr>
        <w:tc>
          <w:tcPr>
            <w:tcW w:w="794" w:type="dxa"/>
            <w:hideMark/>
          </w:tcPr>
          <w:p w14:paraId="78246E36"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19</w:t>
            </w:r>
          </w:p>
        </w:tc>
        <w:tc>
          <w:tcPr>
            <w:tcW w:w="1261" w:type="dxa"/>
            <w:hideMark/>
          </w:tcPr>
          <w:p w14:paraId="28A5183C"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Ciudad Bolívar</w:t>
            </w:r>
          </w:p>
        </w:tc>
        <w:tc>
          <w:tcPr>
            <w:tcW w:w="1472" w:type="dxa"/>
            <w:hideMark/>
          </w:tcPr>
          <w:p w14:paraId="609F9122"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113,222</w:t>
            </w:r>
          </w:p>
        </w:tc>
        <w:tc>
          <w:tcPr>
            <w:tcW w:w="1561" w:type="dxa"/>
            <w:hideMark/>
          </w:tcPr>
          <w:p w14:paraId="648FAF4C"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112,683</w:t>
            </w:r>
          </w:p>
        </w:tc>
        <w:tc>
          <w:tcPr>
            <w:tcW w:w="1261" w:type="dxa"/>
            <w:hideMark/>
          </w:tcPr>
          <w:p w14:paraId="7744F0AA"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99.5%</w:t>
            </w:r>
          </w:p>
        </w:tc>
        <w:tc>
          <w:tcPr>
            <w:tcW w:w="1220" w:type="dxa"/>
            <w:hideMark/>
          </w:tcPr>
          <w:p w14:paraId="2AD1A5D7"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65,921</w:t>
            </w:r>
          </w:p>
        </w:tc>
        <w:tc>
          <w:tcPr>
            <w:tcW w:w="1261" w:type="dxa"/>
            <w:hideMark/>
          </w:tcPr>
          <w:p w14:paraId="47D3FB27"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58.2%</w:t>
            </w:r>
          </w:p>
        </w:tc>
      </w:tr>
      <w:tr w:rsidR="00452820" w:rsidRPr="0013233C" w14:paraId="48FE6366" w14:textId="77777777" w:rsidTr="00452820">
        <w:trPr>
          <w:trHeight w:val="402"/>
        </w:trPr>
        <w:tc>
          <w:tcPr>
            <w:tcW w:w="794" w:type="dxa"/>
            <w:hideMark/>
          </w:tcPr>
          <w:p w14:paraId="616A8240" w14:textId="77777777" w:rsidR="00452820" w:rsidRPr="0013233C" w:rsidRDefault="00452820" w:rsidP="00452820">
            <w:pPr>
              <w:rPr>
                <w:rFonts w:ascii="Arial" w:hAnsi="Arial" w:cs="Arial"/>
                <w:b/>
                <w:bCs/>
                <w:color w:val="000000"/>
                <w:sz w:val="21"/>
                <w:szCs w:val="21"/>
              </w:rPr>
            </w:pPr>
            <w:r w:rsidRPr="0013233C">
              <w:rPr>
                <w:rFonts w:ascii="Arial" w:hAnsi="Arial" w:cs="Arial"/>
                <w:b/>
                <w:bCs/>
                <w:color w:val="000000"/>
                <w:sz w:val="21"/>
                <w:szCs w:val="21"/>
              </w:rPr>
              <w:t>20</w:t>
            </w:r>
          </w:p>
        </w:tc>
        <w:tc>
          <w:tcPr>
            <w:tcW w:w="1261" w:type="dxa"/>
            <w:hideMark/>
          </w:tcPr>
          <w:p w14:paraId="4E13C53D"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 xml:space="preserve">Sumapaz </w:t>
            </w:r>
          </w:p>
        </w:tc>
        <w:tc>
          <w:tcPr>
            <w:tcW w:w="1472" w:type="dxa"/>
            <w:hideMark/>
          </w:tcPr>
          <w:p w14:paraId="678295E4"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33,963</w:t>
            </w:r>
          </w:p>
        </w:tc>
        <w:tc>
          <w:tcPr>
            <w:tcW w:w="1561" w:type="dxa"/>
            <w:hideMark/>
          </w:tcPr>
          <w:p w14:paraId="17BD38C7"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33,86</w:t>
            </w:r>
          </w:p>
        </w:tc>
        <w:tc>
          <w:tcPr>
            <w:tcW w:w="1261" w:type="dxa"/>
            <w:hideMark/>
          </w:tcPr>
          <w:p w14:paraId="5137E1D0"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99.7%</w:t>
            </w:r>
          </w:p>
        </w:tc>
        <w:tc>
          <w:tcPr>
            <w:tcW w:w="1220" w:type="dxa"/>
            <w:hideMark/>
          </w:tcPr>
          <w:p w14:paraId="67DED941"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16,588</w:t>
            </w:r>
          </w:p>
        </w:tc>
        <w:tc>
          <w:tcPr>
            <w:tcW w:w="1261" w:type="dxa"/>
            <w:hideMark/>
          </w:tcPr>
          <w:p w14:paraId="6B4173A5"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48.8%</w:t>
            </w:r>
          </w:p>
        </w:tc>
      </w:tr>
      <w:tr w:rsidR="00452820" w:rsidRPr="0013233C" w14:paraId="41FD30CD" w14:textId="77777777" w:rsidTr="00452820">
        <w:trPr>
          <w:trHeight w:val="402"/>
        </w:trPr>
        <w:tc>
          <w:tcPr>
            <w:tcW w:w="794" w:type="dxa"/>
            <w:hideMark/>
          </w:tcPr>
          <w:p w14:paraId="62380D9B" w14:textId="77777777" w:rsidR="00452820" w:rsidRPr="0013233C" w:rsidRDefault="00452820" w:rsidP="00452820">
            <w:pPr>
              <w:rPr>
                <w:rFonts w:ascii="Arial" w:hAnsi="Arial" w:cs="Arial"/>
                <w:b/>
                <w:bCs/>
                <w:i/>
                <w:iCs/>
                <w:sz w:val="21"/>
                <w:szCs w:val="21"/>
                <w:u w:val="single"/>
              </w:rPr>
            </w:pPr>
            <w:r w:rsidRPr="0013233C">
              <w:rPr>
                <w:rFonts w:ascii="Arial" w:hAnsi="Arial" w:cs="Arial"/>
                <w:b/>
                <w:bCs/>
                <w:i/>
                <w:iCs/>
                <w:sz w:val="21"/>
                <w:szCs w:val="21"/>
                <w:u w:val="single"/>
              </w:rPr>
              <w:t> </w:t>
            </w:r>
          </w:p>
        </w:tc>
        <w:tc>
          <w:tcPr>
            <w:tcW w:w="1261" w:type="dxa"/>
            <w:hideMark/>
          </w:tcPr>
          <w:p w14:paraId="1B6ECD13"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Total</w:t>
            </w:r>
          </w:p>
        </w:tc>
        <w:tc>
          <w:tcPr>
            <w:tcW w:w="1472" w:type="dxa"/>
            <w:hideMark/>
          </w:tcPr>
          <w:p w14:paraId="04BE1C9C"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831,278</w:t>
            </w:r>
          </w:p>
        </w:tc>
        <w:tc>
          <w:tcPr>
            <w:tcW w:w="1561" w:type="dxa"/>
            <w:hideMark/>
          </w:tcPr>
          <w:p w14:paraId="0C5C43D3"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821,814</w:t>
            </w:r>
          </w:p>
        </w:tc>
        <w:tc>
          <w:tcPr>
            <w:tcW w:w="1261" w:type="dxa"/>
            <w:hideMark/>
          </w:tcPr>
          <w:p w14:paraId="4AA29D24"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98.9%</w:t>
            </w:r>
          </w:p>
        </w:tc>
        <w:tc>
          <w:tcPr>
            <w:tcW w:w="1220" w:type="dxa"/>
            <w:hideMark/>
          </w:tcPr>
          <w:p w14:paraId="5B733D5A"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449,175</w:t>
            </w:r>
          </w:p>
        </w:tc>
        <w:tc>
          <w:tcPr>
            <w:tcW w:w="1261" w:type="dxa"/>
            <w:hideMark/>
          </w:tcPr>
          <w:p w14:paraId="6F058646" w14:textId="77777777" w:rsidR="00452820" w:rsidRPr="0013233C" w:rsidRDefault="00452820" w:rsidP="00452820">
            <w:pPr>
              <w:rPr>
                <w:rFonts w:ascii="Arial" w:hAnsi="Arial" w:cs="Arial"/>
                <w:color w:val="000000"/>
                <w:sz w:val="21"/>
                <w:szCs w:val="21"/>
              </w:rPr>
            </w:pPr>
            <w:r w:rsidRPr="0013233C">
              <w:rPr>
                <w:rFonts w:ascii="Arial" w:hAnsi="Arial" w:cs="Arial"/>
                <w:color w:val="000000"/>
                <w:sz w:val="21"/>
                <w:szCs w:val="21"/>
              </w:rPr>
              <w:t>54.0%</w:t>
            </w:r>
          </w:p>
        </w:tc>
      </w:tr>
    </w:tbl>
    <w:p w14:paraId="29460E9A" w14:textId="77777777" w:rsidR="00452820" w:rsidRPr="0013233C" w:rsidRDefault="00452820" w:rsidP="00452820">
      <w:pPr>
        <w:rPr>
          <w:rFonts w:ascii="Arial" w:hAnsi="Arial" w:cs="Arial"/>
          <w:sz w:val="22"/>
          <w:szCs w:val="22"/>
        </w:rPr>
      </w:pPr>
      <w:r w:rsidRPr="0013233C">
        <w:rPr>
          <w:rFonts w:ascii="Arial" w:hAnsi="Arial" w:cs="Arial"/>
          <w:sz w:val="22"/>
          <w:szCs w:val="22"/>
        </w:rPr>
        <w:t>Fuente: Veeduría Distrital, 2023.</w:t>
      </w:r>
    </w:p>
    <w:p w14:paraId="450F3B76" w14:textId="2E44BF61" w:rsidR="00422AA4" w:rsidRPr="0013233C" w:rsidRDefault="00422AA4" w:rsidP="00452820">
      <w:pPr>
        <w:rPr>
          <w:rFonts w:ascii="Arial" w:hAnsi="Arial" w:cs="Arial"/>
          <w:sz w:val="22"/>
          <w:szCs w:val="22"/>
        </w:rPr>
      </w:pPr>
    </w:p>
    <w:p w14:paraId="5C4D43C1" w14:textId="77777777" w:rsidR="00452820" w:rsidRPr="0013233C" w:rsidRDefault="00452820" w:rsidP="00452820">
      <w:pPr>
        <w:jc w:val="both"/>
        <w:rPr>
          <w:rFonts w:ascii="Arial" w:hAnsi="Arial" w:cs="Arial"/>
          <w:i/>
          <w:iCs/>
          <w:sz w:val="22"/>
          <w:szCs w:val="22"/>
        </w:rPr>
      </w:pPr>
      <w:r w:rsidRPr="0013233C">
        <w:rPr>
          <w:rFonts w:ascii="Arial" w:hAnsi="Arial" w:cs="Arial"/>
          <w:sz w:val="22"/>
          <w:szCs w:val="22"/>
        </w:rPr>
        <w:t>Además de lo anterior, si nos aproximamos a la cantidad de OPP con corte a 30 de septiembre de 2023, se puede observar -Gráfica No. 1-, que el número de obligaciones por pagar varía según la localidad. Casos como Kennedy, Ciudad Bolívar y Fontibón muestran grandes números de obligaciones; luego le siguen localidades como Santa Fe, San Cristóbal y Rafael Uribe Uribe  (Veeduría Distrital, 2023).</w:t>
      </w:r>
    </w:p>
    <w:p w14:paraId="1B2D287E" w14:textId="77777777" w:rsidR="00452820" w:rsidRPr="0013233C" w:rsidRDefault="00452820" w:rsidP="00452820">
      <w:pPr>
        <w:rPr>
          <w:rFonts w:ascii="Arial" w:hAnsi="Arial" w:cs="Arial"/>
          <w:sz w:val="22"/>
          <w:szCs w:val="22"/>
        </w:rPr>
      </w:pPr>
    </w:p>
    <w:p w14:paraId="2E773A66" w14:textId="77777777" w:rsidR="00452820" w:rsidRPr="0013233C" w:rsidRDefault="00452820" w:rsidP="00452820">
      <w:pPr>
        <w:rPr>
          <w:rFonts w:ascii="Arial" w:hAnsi="Arial" w:cs="Arial"/>
          <w:i/>
          <w:iCs/>
          <w:sz w:val="22"/>
          <w:szCs w:val="22"/>
          <w:u w:val="single"/>
        </w:rPr>
      </w:pPr>
    </w:p>
    <w:p w14:paraId="2F081F9E" w14:textId="77777777" w:rsidR="00452820" w:rsidRPr="0013233C" w:rsidRDefault="00452820" w:rsidP="00452820">
      <w:pPr>
        <w:rPr>
          <w:rFonts w:ascii="Arial" w:hAnsi="Arial" w:cs="Arial"/>
          <w:i/>
          <w:iCs/>
          <w:sz w:val="22"/>
          <w:szCs w:val="22"/>
        </w:rPr>
      </w:pPr>
      <w:r w:rsidRPr="0013233C">
        <w:rPr>
          <w:rFonts w:ascii="Arial" w:hAnsi="Arial" w:cs="Arial"/>
          <w:noProof/>
          <w:sz w:val="22"/>
          <w:szCs w:val="22"/>
          <w:lang w:eastAsia="es-CO"/>
        </w:rPr>
        <w:drawing>
          <wp:inline distT="0" distB="0" distL="0" distR="0" wp14:anchorId="22F1E04F" wp14:editId="4752F681">
            <wp:extent cx="5440680" cy="3600450"/>
            <wp:effectExtent l="0" t="0" r="7620" b="0"/>
            <wp:docPr id="2080405181" name="Gráfico 1">
              <a:extLst xmlns:a="http://schemas.openxmlformats.org/drawingml/2006/main">
                <a:ext uri="{FF2B5EF4-FFF2-40B4-BE49-F238E27FC236}">
                  <a16:creationId xmlns:a16="http://schemas.microsoft.com/office/drawing/2014/main" id="{9CDDB0D0-CB9C-4277-5C2A-6ABFF3DBDD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65B1AB97" w14:textId="77777777" w:rsidR="00452820" w:rsidRPr="0013233C" w:rsidRDefault="00452820" w:rsidP="00452820">
      <w:pPr>
        <w:rPr>
          <w:rFonts w:ascii="Arial" w:hAnsi="Arial" w:cs="Arial"/>
          <w:i/>
          <w:iCs/>
          <w:sz w:val="22"/>
          <w:szCs w:val="22"/>
          <w:u w:val="single"/>
        </w:rPr>
      </w:pPr>
    </w:p>
    <w:p w14:paraId="55244C3D" w14:textId="5627D854" w:rsidR="006B5508" w:rsidRPr="0013233C" w:rsidRDefault="00452820" w:rsidP="00452820">
      <w:pPr>
        <w:rPr>
          <w:rFonts w:ascii="Arial" w:hAnsi="Arial" w:cs="Arial"/>
          <w:sz w:val="22"/>
          <w:szCs w:val="22"/>
        </w:rPr>
      </w:pPr>
      <w:r w:rsidRPr="0013233C">
        <w:rPr>
          <w:rFonts w:ascii="Arial" w:hAnsi="Arial" w:cs="Arial"/>
          <w:sz w:val="22"/>
          <w:szCs w:val="22"/>
        </w:rPr>
        <w:t>Fuente: Veeduría Distrital, 2023</w:t>
      </w:r>
    </w:p>
    <w:p w14:paraId="51A2DFD0" w14:textId="5FE69A3F" w:rsidR="00422AA4" w:rsidRDefault="00422AA4" w:rsidP="00452820">
      <w:pPr>
        <w:rPr>
          <w:rFonts w:ascii="Arial" w:hAnsi="Arial" w:cs="Arial"/>
          <w:sz w:val="22"/>
          <w:szCs w:val="22"/>
        </w:rPr>
      </w:pPr>
    </w:p>
    <w:p w14:paraId="2CB8571A" w14:textId="36F24FB8" w:rsidR="0013233C" w:rsidRDefault="0013233C" w:rsidP="00452820">
      <w:pPr>
        <w:rPr>
          <w:rFonts w:ascii="Arial" w:hAnsi="Arial" w:cs="Arial"/>
          <w:sz w:val="22"/>
          <w:szCs w:val="22"/>
        </w:rPr>
      </w:pPr>
    </w:p>
    <w:p w14:paraId="08E9266E" w14:textId="7374029B" w:rsidR="0013233C" w:rsidRDefault="0013233C" w:rsidP="00452820">
      <w:pPr>
        <w:rPr>
          <w:rFonts w:ascii="Arial" w:hAnsi="Arial" w:cs="Arial"/>
          <w:sz w:val="22"/>
          <w:szCs w:val="22"/>
        </w:rPr>
      </w:pPr>
    </w:p>
    <w:p w14:paraId="4494DA70" w14:textId="1D8CC458" w:rsidR="0013233C" w:rsidRDefault="0013233C" w:rsidP="00452820">
      <w:pPr>
        <w:rPr>
          <w:rFonts w:ascii="Arial" w:hAnsi="Arial" w:cs="Arial"/>
          <w:sz w:val="22"/>
          <w:szCs w:val="22"/>
        </w:rPr>
      </w:pPr>
    </w:p>
    <w:p w14:paraId="3C552CA6" w14:textId="2A9EBD7D" w:rsidR="0013233C" w:rsidRDefault="0013233C" w:rsidP="00452820">
      <w:pPr>
        <w:rPr>
          <w:rFonts w:ascii="Arial" w:hAnsi="Arial" w:cs="Arial"/>
          <w:sz w:val="22"/>
          <w:szCs w:val="22"/>
        </w:rPr>
      </w:pPr>
    </w:p>
    <w:p w14:paraId="26D82E71" w14:textId="4E7A6A36" w:rsidR="0013233C" w:rsidRDefault="0013233C" w:rsidP="00452820">
      <w:pPr>
        <w:rPr>
          <w:rFonts w:ascii="Arial" w:hAnsi="Arial" w:cs="Arial"/>
          <w:sz w:val="22"/>
          <w:szCs w:val="22"/>
        </w:rPr>
      </w:pPr>
    </w:p>
    <w:p w14:paraId="49496632" w14:textId="1FE25812" w:rsidR="0013233C" w:rsidRDefault="0013233C" w:rsidP="00452820">
      <w:pPr>
        <w:rPr>
          <w:rFonts w:ascii="Arial" w:hAnsi="Arial" w:cs="Arial"/>
          <w:sz w:val="22"/>
          <w:szCs w:val="22"/>
        </w:rPr>
      </w:pPr>
    </w:p>
    <w:p w14:paraId="49595E17" w14:textId="77777777" w:rsidR="0013233C" w:rsidRPr="0013233C" w:rsidRDefault="0013233C" w:rsidP="00452820">
      <w:pPr>
        <w:rPr>
          <w:rFonts w:ascii="Arial" w:hAnsi="Arial" w:cs="Arial"/>
          <w:sz w:val="22"/>
          <w:szCs w:val="22"/>
        </w:rPr>
      </w:pPr>
    </w:p>
    <w:p w14:paraId="3600DF95" w14:textId="403A3224" w:rsidR="00452820" w:rsidRPr="0013233C" w:rsidRDefault="00452820" w:rsidP="00452820">
      <w:pPr>
        <w:rPr>
          <w:rFonts w:ascii="Arial" w:hAnsi="Arial" w:cs="Arial"/>
          <w:sz w:val="22"/>
          <w:szCs w:val="22"/>
        </w:rPr>
      </w:pPr>
      <w:r w:rsidRPr="0013233C">
        <w:rPr>
          <w:rFonts w:ascii="Arial" w:hAnsi="Arial" w:cs="Arial"/>
          <w:sz w:val="22"/>
          <w:szCs w:val="22"/>
        </w:rPr>
        <w:t>Ahora bien, al dar cuenta, lo calidad por localidad, de los giros de las OPP con corte a septiembre de 2023, podemos ver la siguiente clasificación:</w:t>
      </w:r>
    </w:p>
    <w:p w14:paraId="5A8E16BE" w14:textId="77777777" w:rsidR="00452820" w:rsidRPr="0013233C" w:rsidRDefault="00452820" w:rsidP="00452820">
      <w:pPr>
        <w:rPr>
          <w:rFonts w:ascii="Arial" w:hAnsi="Arial" w:cs="Arial"/>
          <w:i/>
          <w:iCs/>
          <w:sz w:val="22"/>
          <w:szCs w:val="22"/>
          <w:u w:val="single"/>
        </w:rPr>
      </w:pPr>
    </w:p>
    <w:p w14:paraId="180B66D2" w14:textId="77777777" w:rsidR="00452820" w:rsidRPr="0013233C" w:rsidRDefault="00452820" w:rsidP="00452820">
      <w:pPr>
        <w:rPr>
          <w:rFonts w:ascii="Arial" w:hAnsi="Arial" w:cs="Arial"/>
          <w:i/>
          <w:iCs/>
          <w:sz w:val="22"/>
          <w:szCs w:val="22"/>
          <w:u w:val="single"/>
        </w:rPr>
      </w:pPr>
    </w:p>
    <w:tbl>
      <w:tblPr>
        <w:tblW w:w="92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60"/>
        <w:gridCol w:w="1711"/>
        <w:gridCol w:w="1581"/>
        <w:gridCol w:w="1008"/>
        <w:gridCol w:w="922"/>
        <w:gridCol w:w="1253"/>
        <w:gridCol w:w="1322"/>
      </w:tblGrid>
      <w:tr w:rsidR="00452820" w:rsidRPr="0013233C" w14:paraId="6DE4655B" w14:textId="77777777" w:rsidTr="00452820">
        <w:trPr>
          <w:trHeight w:val="300"/>
        </w:trPr>
        <w:tc>
          <w:tcPr>
            <w:tcW w:w="9257" w:type="dxa"/>
            <w:gridSpan w:val="7"/>
            <w:shd w:val="clear" w:color="000000" w:fill="808080"/>
            <w:noWrap/>
            <w:vAlign w:val="bottom"/>
            <w:hideMark/>
          </w:tcPr>
          <w:p w14:paraId="08743A11"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Tabla 2. Ranking de giros de las Obligaciones por pagar con corte a 30 de septiembre de 2023</w:t>
            </w:r>
          </w:p>
        </w:tc>
      </w:tr>
      <w:tr w:rsidR="00452820" w:rsidRPr="0013233C" w14:paraId="1686DE16" w14:textId="77777777" w:rsidTr="00452820">
        <w:trPr>
          <w:trHeight w:val="600"/>
        </w:trPr>
        <w:tc>
          <w:tcPr>
            <w:tcW w:w="1460" w:type="dxa"/>
            <w:shd w:val="clear" w:color="auto" w:fill="auto"/>
            <w:noWrap/>
            <w:vAlign w:val="bottom"/>
            <w:hideMark/>
          </w:tcPr>
          <w:p w14:paraId="6E114353" w14:textId="77777777" w:rsidR="00452820" w:rsidRPr="0013233C" w:rsidRDefault="00452820" w:rsidP="00452820">
            <w:pPr>
              <w:rPr>
                <w:rFonts w:ascii="Arial" w:hAnsi="Arial" w:cs="Arial"/>
                <w:b/>
                <w:bCs/>
                <w:color w:val="000000"/>
                <w:sz w:val="22"/>
                <w:szCs w:val="22"/>
              </w:rPr>
            </w:pPr>
            <w:r w:rsidRPr="0013233C">
              <w:rPr>
                <w:rFonts w:ascii="Arial" w:hAnsi="Arial" w:cs="Arial"/>
                <w:b/>
                <w:bCs/>
                <w:color w:val="000000"/>
                <w:sz w:val="22"/>
                <w:szCs w:val="22"/>
              </w:rPr>
              <w:t>No.</w:t>
            </w:r>
          </w:p>
        </w:tc>
        <w:tc>
          <w:tcPr>
            <w:tcW w:w="1711" w:type="dxa"/>
            <w:shd w:val="clear" w:color="auto" w:fill="auto"/>
            <w:noWrap/>
            <w:vAlign w:val="bottom"/>
            <w:hideMark/>
          </w:tcPr>
          <w:p w14:paraId="2750BD51" w14:textId="77777777" w:rsidR="00452820" w:rsidRPr="0013233C" w:rsidRDefault="00452820" w:rsidP="00452820">
            <w:pPr>
              <w:rPr>
                <w:rFonts w:ascii="Arial" w:hAnsi="Arial" w:cs="Arial"/>
                <w:b/>
                <w:bCs/>
                <w:color w:val="000000"/>
                <w:sz w:val="22"/>
                <w:szCs w:val="22"/>
              </w:rPr>
            </w:pPr>
            <w:r w:rsidRPr="0013233C">
              <w:rPr>
                <w:rFonts w:ascii="Arial" w:hAnsi="Arial" w:cs="Arial"/>
                <w:b/>
                <w:bCs/>
                <w:color w:val="000000"/>
                <w:sz w:val="22"/>
                <w:szCs w:val="22"/>
              </w:rPr>
              <w:t>Localidad</w:t>
            </w:r>
          </w:p>
        </w:tc>
        <w:tc>
          <w:tcPr>
            <w:tcW w:w="1581" w:type="dxa"/>
            <w:shd w:val="clear" w:color="auto" w:fill="auto"/>
            <w:vAlign w:val="bottom"/>
            <w:hideMark/>
          </w:tcPr>
          <w:p w14:paraId="5F7B9122" w14:textId="77777777" w:rsidR="00452820" w:rsidRPr="0013233C" w:rsidRDefault="00452820" w:rsidP="00452820">
            <w:pPr>
              <w:rPr>
                <w:rFonts w:ascii="Arial" w:hAnsi="Arial" w:cs="Arial"/>
                <w:b/>
                <w:bCs/>
                <w:color w:val="000000"/>
                <w:sz w:val="22"/>
                <w:szCs w:val="22"/>
              </w:rPr>
            </w:pPr>
            <w:r w:rsidRPr="0013233C">
              <w:rPr>
                <w:rFonts w:ascii="Arial" w:hAnsi="Arial" w:cs="Arial"/>
                <w:b/>
                <w:bCs/>
                <w:color w:val="000000"/>
                <w:sz w:val="22"/>
                <w:szCs w:val="22"/>
              </w:rPr>
              <w:t xml:space="preserve">Apropiación Disponible </w:t>
            </w:r>
          </w:p>
        </w:tc>
        <w:tc>
          <w:tcPr>
            <w:tcW w:w="1008" w:type="dxa"/>
            <w:shd w:val="clear" w:color="auto" w:fill="auto"/>
            <w:noWrap/>
            <w:vAlign w:val="bottom"/>
            <w:hideMark/>
          </w:tcPr>
          <w:p w14:paraId="227BB4D9" w14:textId="77777777" w:rsidR="00452820" w:rsidRPr="0013233C" w:rsidRDefault="00452820" w:rsidP="00452820">
            <w:pPr>
              <w:rPr>
                <w:rFonts w:ascii="Arial" w:hAnsi="Arial" w:cs="Arial"/>
                <w:b/>
                <w:bCs/>
                <w:color w:val="000000"/>
                <w:sz w:val="22"/>
                <w:szCs w:val="22"/>
              </w:rPr>
            </w:pPr>
            <w:r w:rsidRPr="0013233C">
              <w:rPr>
                <w:rFonts w:ascii="Arial" w:hAnsi="Arial" w:cs="Arial"/>
                <w:b/>
                <w:bCs/>
                <w:color w:val="000000"/>
                <w:sz w:val="22"/>
                <w:szCs w:val="22"/>
              </w:rPr>
              <w:t>Giros</w:t>
            </w:r>
          </w:p>
        </w:tc>
        <w:tc>
          <w:tcPr>
            <w:tcW w:w="922" w:type="dxa"/>
            <w:shd w:val="clear" w:color="auto" w:fill="auto"/>
            <w:noWrap/>
            <w:vAlign w:val="bottom"/>
            <w:hideMark/>
          </w:tcPr>
          <w:p w14:paraId="7ED5A718" w14:textId="77777777" w:rsidR="00452820" w:rsidRPr="0013233C" w:rsidRDefault="00452820" w:rsidP="00452820">
            <w:pPr>
              <w:rPr>
                <w:rFonts w:ascii="Arial" w:hAnsi="Arial" w:cs="Arial"/>
                <w:b/>
                <w:bCs/>
                <w:color w:val="000000"/>
                <w:sz w:val="22"/>
                <w:szCs w:val="22"/>
              </w:rPr>
            </w:pPr>
            <w:r w:rsidRPr="0013233C">
              <w:rPr>
                <w:rFonts w:ascii="Arial" w:hAnsi="Arial" w:cs="Arial"/>
                <w:b/>
                <w:bCs/>
                <w:color w:val="000000"/>
                <w:sz w:val="22"/>
                <w:szCs w:val="22"/>
              </w:rPr>
              <w:t>% Giros</w:t>
            </w:r>
          </w:p>
        </w:tc>
        <w:tc>
          <w:tcPr>
            <w:tcW w:w="1253" w:type="dxa"/>
            <w:shd w:val="clear" w:color="auto" w:fill="auto"/>
            <w:noWrap/>
            <w:vAlign w:val="bottom"/>
            <w:hideMark/>
          </w:tcPr>
          <w:p w14:paraId="657841BF" w14:textId="77777777" w:rsidR="00452820" w:rsidRPr="0013233C" w:rsidRDefault="00452820" w:rsidP="00452820">
            <w:pPr>
              <w:rPr>
                <w:rFonts w:ascii="Arial" w:hAnsi="Arial" w:cs="Arial"/>
                <w:b/>
                <w:bCs/>
                <w:color w:val="000000"/>
                <w:sz w:val="22"/>
                <w:szCs w:val="22"/>
              </w:rPr>
            </w:pPr>
            <w:r w:rsidRPr="0013233C">
              <w:rPr>
                <w:rFonts w:ascii="Arial" w:hAnsi="Arial" w:cs="Arial"/>
                <w:b/>
                <w:bCs/>
                <w:color w:val="000000"/>
                <w:sz w:val="22"/>
                <w:szCs w:val="22"/>
              </w:rPr>
              <w:t>$ por Girar</w:t>
            </w:r>
          </w:p>
        </w:tc>
        <w:tc>
          <w:tcPr>
            <w:tcW w:w="1322" w:type="dxa"/>
            <w:shd w:val="clear" w:color="auto" w:fill="auto"/>
            <w:noWrap/>
            <w:vAlign w:val="bottom"/>
            <w:hideMark/>
          </w:tcPr>
          <w:p w14:paraId="517F2A4E" w14:textId="77777777" w:rsidR="00452820" w:rsidRPr="0013233C" w:rsidRDefault="00452820" w:rsidP="00452820">
            <w:pPr>
              <w:rPr>
                <w:rFonts w:ascii="Arial" w:hAnsi="Arial" w:cs="Arial"/>
                <w:b/>
                <w:bCs/>
                <w:color w:val="000000"/>
                <w:sz w:val="22"/>
                <w:szCs w:val="22"/>
              </w:rPr>
            </w:pPr>
            <w:r w:rsidRPr="0013233C">
              <w:rPr>
                <w:rFonts w:ascii="Arial" w:hAnsi="Arial" w:cs="Arial"/>
                <w:b/>
                <w:bCs/>
                <w:color w:val="000000"/>
                <w:sz w:val="22"/>
                <w:szCs w:val="22"/>
              </w:rPr>
              <w:t>% por Girar</w:t>
            </w:r>
          </w:p>
        </w:tc>
      </w:tr>
      <w:tr w:rsidR="00452820" w:rsidRPr="0013233C" w14:paraId="0276B9E0" w14:textId="77777777" w:rsidTr="00452820">
        <w:trPr>
          <w:trHeight w:val="300"/>
        </w:trPr>
        <w:tc>
          <w:tcPr>
            <w:tcW w:w="1460" w:type="dxa"/>
            <w:shd w:val="clear" w:color="auto" w:fill="auto"/>
            <w:noWrap/>
            <w:hideMark/>
          </w:tcPr>
          <w:p w14:paraId="4F02AD1C"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14</w:t>
            </w:r>
          </w:p>
        </w:tc>
        <w:tc>
          <w:tcPr>
            <w:tcW w:w="1711" w:type="dxa"/>
            <w:shd w:val="clear" w:color="auto" w:fill="auto"/>
            <w:noWrap/>
            <w:vAlign w:val="bottom"/>
            <w:hideMark/>
          </w:tcPr>
          <w:p w14:paraId="34B7F113"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Los Mártires</w:t>
            </w:r>
          </w:p>
        </w:tc>
        <w:tc>
          <w:tcPr>
            <w:tcW w:w="1581" w:type="dxa"/>
            <w:shd w:val="clear" w:color="auto" w:fill="auto"/>
            <w:noWrap/>
            <w:vAlign w:val="bottom"/>
            <w:hideMark/>
          </w:tcPr>
          <w:p w14:paraId="0FA840F2"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21,365</w:t>
            </w:r>
          </w:p>
        </w:tc>
        <w:tc>
          <w:tcPr>
            <w:tcW w:w="1008" w:type="dxa"/>
            <w:shd w:val="clear" w:color="auto" w:fill="auto"/>
            <w:noWrap/>
            <w:vAlign w:val="bottom"/>
            <w:hideMark/>
          </w:tcPr>
          <w:p w14:paraId="44D02BA0"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4,394</w:t>
            </w:r>
          </w:p>
        </w:tc>
        <w:tc>
          <w:tcPr>
            <w:tcW w:w="922" w:type="dxa"/>
            <w:shd w:val="clear" w:color="auto" w:fill="auto"/>
            <w:noWrap/>
            <w:vAlign w:val="bottom"/>
            <w:hideMark/>
          </w:tcPr>
          <w:p w14:paraId="01267D4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21%</w:t>
            </w:r>
          </w:p>
        </w:tc>
        <w:tc>
          <w:tcPr>
            <w:tcW w:w="1253" w:type="dxa"/>
            <w:shd w:val="clear" w:color="auto" w:fill="auto"/>
            <w:noWrap/>
            <w:vAlign w:val="bottom"/>
            <w:hideMark/>
          </w:tcPr>
          <w:p w14:paraId="3CA1ED8E"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16,971</w:t>
            </w:r>
          </w:p>
        </w:tc>
        <w:tc>
          <w:tcPr>
            <w:tcW w:w="1322" w:type="dxa"/>
            <w:shd w:val="clear" w:color="auto" w:fill="auto"/>
            <w:noWrap/>
            <w:vAlign w:val="bottom"/>
            <w:hideMark/>
          </w:tcPr>
          <w:p w14:paraId="2B2340B9"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79%</w:t>
            </w:r>
          </w:p>
        </w:tc>
      </w:tr>
      <w:tr w:rsidR="00452820" w:rsidRPr="0013233C" w14:paraId="6F59168C" w14:textId="77777777" w:rsidTr="00452820">
        <w:trPr>
          <w:trHeight w:val="300"/>
        </w:trPr>
        <w:tc>
          <w:tcPr>
            <w:tcW w:w="1460" w:type="dxa"/>
            <w:shd w:val="clear" w:color="auto" w:fill="auto"/>
            <w:noWrap/>
            <w:vAlign w:val="center"/>
            <w:hideMark/>
          </w:tcPr>
          <w:p w14:paraId="1FC5707D"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13</w:t>
            </w:r>
          </w:p>
        </w:tc>
        <w:tc>
          <w:tcPr>
            <w:tcW w:w="1711" w:type="dxa"/>
            <w:shd w:val="clear" w:color="auto" w:fill="auto"/>
            <w:noWrap/>
            <w:vAlign w:val="bottom"/>
            <w:hideMark/>
          </w:tcPr>
          <w:p w14:paraId="74792208"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Teusaquillo </w:t>
            </w:r>
          </w:p>
        </w:tc>
        <w:tc>
          <w:tcPr>
            <w:tcW w:w="1581" w:type="dxa"/>
            <w:shd w:val="clear" w:color="auto" w:fill="auto"/>
            <w:noWrap/>
            <w:vAlign w:val="bottom"/>
            <w:hideMark/>
          </w:tcPr>
          <w:p w14:paraId="661B8DB5"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17,459</w:t>
            </w:r>
          </w:p>
        </w:tc>
        <w:tc>
          <w:tcPr>
            <w:tcW w:w="1008" w:type="dxa"/>
            <w:shd w:val="clear" w:color="auto" w:fill="auto"/>
            <w:noWrap/>
            <w:vAlign w:val="bottom"/>
            <w:hideMark/>
          </w:tcPr>
          <w:p w14:paraId="4A183BE2"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6,618</w:t>
            </w:r>
          </w:p>
        </w:tc>
        <w:tc>
          <w:tcPr>
            <w:tcW w:w="922" w:type="dxa"/>
            <w:shd w:val="clear" w:color="auto" w:fill="auto"/>
            <w:noWrap/>
            <w:vAlign w:val="bottom"/>
            <w:hideMark/>
          </w:tcPr>
          <w:p w14:paraId="1EBE32DB"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38%</w:t>
            </w:r>
          </w:p>
        </w:tc>
        <w:tc>
          <w:tcPr>
            <w:tcW w:w="1253" w:type="dxa"/>
            <w:shd w:val="clear" w:color="auto" w:fill="auto"/>
            <w:noWrap/>
            <w:vAlign w:val="bottom"/>
            <w:hideMark/>
          </w:tcPr>
          <w:p w14:paraId="01B1C8AA"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10,84</w:t>
            </w:r>
          </w:p>
        </w:tc>
        <w:tc>
          <w:tcPr>
            <w:tcW w:w="1322" w:type="dxa"/>
            <w:shd w:val="clear" w:color="auto" w:fill="auto"/>
            <w:noWrap/>
            <w:vAlign w:val="bottom"/>
            <w:hideMark/>
          </w:tcPr>
          <w:p w14:paraId="1C6BD1B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62%</w:t>
            </w:r>
          </w:p>
        </w:tc>
      </w:tr>
      <w:tr w:rsidR="00452820" w:rsidRPr="0013233C" w14:paraId="717BA82C" w14:textId="77777777" w:rsidTr="00452820">
        <w:trPr>
          <w:trHeight w:val="300"/>
        </w:trPr>
        <w:tc>
          <w:tcPr>
            <w:tcW w:w="1460" w:type="dxa"/>
            <w:shd w:val="clear" w:color="auto" w:fill="auto"/>
            <w:noWrap/>
            <w:vAlign w:val="center"/>
            <w:hideMark/>
          </w:tcPr>
          <w:p w14:paraId="47C2EB20"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2</w:t>
            </w:r>
          </w:p>
        </w:tc>
        <w:tc>
          <w:tcPr>
            <w:tcW w:w="1711" w:type="dxa"/>
            <w:shd w:val="clear" w:color="auto" w:fill="auto"/>
            <w:noWrap/>
            <w:vAlign w:val="bottom"/>
            <w:hideMark/>
          </w:tcPr>
          <w:p w14:paraId="1BC3049E"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Chapinero</w:t>
            </w:r>
          </w:p>
        </w:tc>
        <w:tc>
          <w:tcPr>
            <w:tcW w:w="1581" w:type="dxa"/>
            <w:shd w:val="clear" w:color="auto" w:fill="auto"/>
            <w:noWrap/>
            <w:vAlign w:val="bottom"/>
            <w:hideMark/>
          </w:tcPr>
          <w:p w14:paraId="2394DAA5"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19,85</w:t>
            </w:r>
          </w:p>
        </w:tc>
        <w:tc>
          <w:tcPr>
            <w:tcW w:w="1008" w:type="dxa"/>
            <w:shd w:val="clear" w:color="auto" w:fill="auto"/>
            <w:noWrap/>
            <w:vAlign w:val="bottom"/>
            <w:hideMark/>
          </w:tcPr>
          <w:p w14:paraId="2094BD1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7,811</w:t>
            </w:r>
          </w:p>
        </w:tc>
        <w:tc>
          <w:tcPr>
            <w:tcW w:w="922" w:type="dxa"/>
            <w:shd w:val="clear" w:color="auto" w:fill="auto"/>
            <w:noWrap/>
            <w:vAlign w:val="bottom"/>
            <w:hideMark/>
          </w:tcPr>
          <w:p w14:paraId="0526EA55"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39%</w:t>
            </w:r>
          </w:p>
        </w:tc>
        <w:tc>
          <w:tcPr>
            <w:tcW w:w="1253" w:type="dxa"/>
            <w:shd w:val="clear" w:color="auto" w:fill="auto"/>
            <w:noWrap/>
            <w:vAlign w:val="bottom"/>
            <w:hideMark/>
          </w:tcPr>
          <w:p w14:paraId="40F8839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12,039</w:t>
            </w:r>
          </w:p>
        </w:tc>
        <w:tc>
          <w:tcPr>
            <w:tcW w:w="1322" w:type="dxa"/>
            <w:shd w:val="clear" w:color="auto" w:fill="auto"/>
            <w:noWrap/>
            <w:vAlign w:val="bottom"/>
            <w:hideMark/>
          </w:tcPr>
          <w:p w14:paraId="18DD00FD"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61%</w:t>
            </w:r>
          </w:p>
        </w:tc>
      </w:tr>
      <w:tr w:rsidR="00452820" w:rsidRPr="0013233C" w14:paraId="786A0AE1" w14:textId="77777777" w:rsidTr="00452820">
        <w:trPr>
          <w:trHeight w:val="300"/>
        </w:trPr>
        <w:tc>
          <w:tcPr>
            <w:tcW w:w="1460" w:type="dxa"/>
            <w:shd w:val="clear" w:color="auto" w:fill="auto"/>
            <w:noWrap/>
            <w:vAlign w:val="center"/>
            <w:hideMark/>
          </w:tcPr>
          <w:p w14:paraId="2FEF9E04"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3</w:t>
            </w:r>
          </w:p>
        </w:tc>
        <w:tc>
          <w:tcPr>
            <w:tcW w:w="1711" w:type="dxa"/>
            <w:shd w:val="clear" w:color="auto" w:fill="auto"/>
            <w:noWrap/>
            <w:vAlign w:val="bottom"/>
            <w:hideMark/>
          </w:tcPr>
          <w:p w14:paraId="168DC703"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Santafé</w:t>
            </w:r>
          </w:p>
        </w:tc>
        <w:tc>
          <w:tcPr>
            <w:tcW w:w="1581" w:type="dxa"/>
            <w:shd w:val="clear" w:color="auto" w:fill="auto"/>
            <w:noWrap/>
            <w:vAlign w:val="bottom"/>
            <w:hideMark/>
          </w:tcPr>
          <w:p w14:paraId="58188379"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25,639</w:t>
            </w:r>
          </w:p>
        </w:tc>
        <w:tc>
          <w:tcPr>
            <w:tcW w:w="1008" w:type="dxa"/>
            <w:shd w:val="clear" w:color="auto" w:fill="auto"/>
            <w:noWrap/>
            <w:vAlign w:val="bottom"/>
            <w:hideMark/>
          </w:tcPr>
          <w:p w14:paraId="3F789A70"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10,411</w:t>
            </w:r>
          </w:p>
        </w:tc>
        <w:tc>
          <w:tcPr>
            <w:tcW w:w="922" w:type="dxa"/>
            <w:shd w:val="clear" w:color="auto" w:fill="auto"/>
            <w:noWrap/>
            <w:vAlign w:val="bottom"/>
            <w:hideMark/>
          </w:tcPr>
          <w:p w14:paraId="10C9A098"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41%</w:t>
            </w:r>
          </w:p>
        </w:tc>
        <w:tc>
          <w:tcPr>
            <w:tcW w:w="1253" w:type="dxa"/>
            <w:shd w:val="clear" w:color="auto" w:fill="auto"/>
            <w:noWrap/>
            <w:vAlign w:val="bottom"/>
            <w:hideMark/>
          </w:tcPr>
          <w:p w14:paraId="22229BE5"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15,228</w:t>
            </w:r>
          </w:p>
        </w:tc>
        <w:tc>
          <w:tcPr>
            <w:tcW w:w="1322" w:type="dxa"/>
            <w:shd w:val="clear" w:color="auto" w:fill="auto"/>
            <w:noWrap/>
            <w:vAlign w:val="bottom"/>
            <w:hideMark/>
          </w:tcPr>
          <w:p w14:paraId="24C36E45"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59%</w:t>
            </w:r>
          </w:p>
        </w:tc>
      </w:tr>
      <w:tr w:rsidR="00452820" w:rsidRPr="0013233C" w14:paraId="40914418" w14:textId="77777777" w:rsidTr="00452820">
        <w:trPr>
          <w:trHeight w:val="300"/>
        </w:trPr>
        <w:tc>
          <w:tcPr>
            <w:tcW w:w="1460" w:type="dxa"/>
            <w:shd w:val="clear" w:color="auto" w:fill="auto"/>
            <w:noWrap/>
            <w:vAlign w:val="center"/>
            <w:hideMark/>
          </w:tcPr>
          <w:p w14:paraId="17305453"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5</w:t>
            </w:r>
          </w:p>
        </w:tc>
        <w:tc>
          <w:tcPr>
            <w:tcW w:w="1711" w:type="dxa"/>
            <w:shd w:val="clear" w:color="auto" w:fill="auto"/>
            <w:noWrap/>
            <w:vAlign w:val="bottom"/>
            <w:hideMark/>
          </w:tcPr>
          <w:p w14:paraId="341FADEC"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Usme</w:t>
            </w:r>
          </w:p>
        </w:tc>
        <w:tc>
          <w:tcPr>
            <w:tcW w:w="1581" w:type="dxa"/>
            <w:shd w:val="clear" w:color="auto" w:fill="auto"/>
            <w:noWrap/>
            <w:vAlign w:val="bottom"/>
            <w:hideMark/>
          </w:tcPr>
          <w:p w14:paraId="3E60124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75,565</w:t>
            </w:r>
          </w:p>
        </w:tc>
        <w:tc>
          <w:tcPr>
            <w:tcW w:w="1008" w:type="dxa"/>
            <w:shd w:val="clear" w:color="auto" w:fill="auto"/>
            <w:noWrap/>
            <w:vAlign w:val="bottom"/>
            <w:hideMark/>
          </w:tcPr>
          <w:p w14:paraId="06AAC61A"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31,245</w:t>
            </w:r>
          </w:p>
        </w:tc>
        <w:tc>
          <w:tcPr>
            <w:tcW w:w="922" w:type="dxa"/>
            <w:shd w:val="clear" w:color="auto" w:fill="auto"/>
            <w:noWrap/>
            <w:vAlign w:val="bottom"/>
            <w:hideMark/>
          </w:tcPr>
          <w:p w14:paraId="607E9AC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41%</w:t>
            </w:r>
          </w:p>
        </w:tc>
        <w:tc>
          <w:tcPr>
            <w:tcW w:w="1253" w:type="dxa"/>
            <w:shd w:val="clear" w:color="auto" w:fill="auto"/>
            <w:noWrap/>
            <w:vAlign w:val="bottom"/>
            <w:hideMark/>
          </w:tcPr>
          <w:p w14:paraId="74049B22"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44,32</w:t>
            </w:r>
          </w:p>
        </w:tc>
        <w:tc>
          <w:tcPr>
            <w:tcW w:w="1322" w:type="dxa"/>
            <w:shd w:val="clear" w:color="auto" w:fill="auto"/>
            <w:noWrap/>
            <w:vAlign w:val="bottom"/>
            <w:hideMark/>
          </w:tcPr>
          <w:p w14:paraId="6FC05532"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59%</w:t>
            </w:r>
          </w:p>
        </w:tc>
      </w:tr>
      <w:tr w:rsidR="00452820" w:rsidRPr="0013233C" w14:paraId="6295FD0E" w14:textId="77777777" w:rsidTr="00452820">
        <w:trPr>
          <w:trHeight w:val="300"/>
        </w:trPr>
        <w:tc>
          <w:tcPr>
            <w:tcW w:w="1460" w:type="dxa"/>
            <w:shd w:val="clear" w:color="auto" w:fill="auto"/>
            <w:noWrap/>
            <w:vAlign w:val="center"/>
            <w:hideMark/>
          </w:tcPr>
          <w:p w14:paraId="1FEE19F9"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15</w:t>
            </w:r>
          </w:p>
        </w:tc>
        <w:tc>
          <w:tcPr>
            <w:tcW w:w="1711" w:type="dxa"/>
            <w:shd w:val="clear" w:color="auto" w:fill="auto"/>
            <w:noWrap/>
            <w:vAlign w:val="bottom"/>
            <w:hideMark/>
          </w:tcPr>
          <w:p w14:paraId="0C67235A"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Antonio Nariño</w:t>
            </w:r>
          </w:p>
        </w:tc>
        <w:tc>
          <w:tcPr>
            <w:tcW w:w="1581" w:type="dxa"/>
            <w:shd w:val="clear" w:color="auto" w:fill="auto"/>
            <w:noWrap/>
            <w:vAlign w:val="bottom"/>
            <w:hideMark/>
          </w:tcPr>
          <w:p w14:paraId="6BC3E88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15,087</w:t>
            </w:r>
          </w:p>
        </w:tc>
        <w:tc>
          <w:tcPr>
            <w:tcW w:w="1008" w:type="dxa"/>
            <w:shd w:val="clear" w:color="auto" w:fill="auto"/>
            <w:noWrap/>
            <w:vAlign w:val="bottom"/>
            <w:hideMark/>
          </w:tcPr>
          <w:p w14:paraId="55BC125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6,84</w:t>
            </w:r>
          </w:p>
        </w:tc>
        <w:tc>
          <w:tcPr>
            <w:tcW w:w="922" w:type="dxa"/>
            <w:shd w:val="clear" w:color="auto" w:fill="auto"/>
            <w:noWrap/>
            <w:vAlign w:val="bottom"/>
            <w:hideMark/>
          </w:tcPr>
          <w:p w14:paraId="2B17FC7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45%</w:t>
            </w:r>
          </w:p>
        </w:tc>
        <w:tc>
          <w:tcPr>
            <w:tcW w:w="1253" w:type="dxa"/>
            <w:shd w:val="clear" w:color="auto" w:fill="auto"/>
            <w:noWrap/>
            <w:vAlign w:val="bottom"/>
            <w:hideMark/>
          </w:tcPr>
          <w:p w14:paraId="523CC31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8,248</w:t>
            </w:r>
          </w:p>
        </w:tc>
        <w:tc>
          <w:tcPr>
            <w:tcW w:w="1322" w:type="dxa"/>
            <w:shd w:val="clear" w:color="auto" w:fill="auto"/>
            <w:noWrap/>
            <w:vAlign w:val="bottom"/>
            <w:hideMark/>
          </w:tcPr>
          <w:p w14:paraId="0015E24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55%</w:t>
            </w:r>
          </w:p>
        </w:tc>
      </w:tr>
      <w:tr w:rsidR="00452820" w:rsidRPr="0013233C" w14:paraId="00239481" w14:textId="77777777" w:rsidTr="00452820">
        <w:trPr>
          <w:trHeight w:val="300"/>
        </w:trPr>
        <w:tc>
          <w:tcPr>
            <w:tcW w:w="1460" w:type="dxa"/>
            <w:shd w:val="clear" w:color="auto" w:fill="auto"/>
            <w:noWrap/>
            <w:vAlign w:val="center"/>
            <w:hideMark/>
          </w:tcPr>
          <w:p w14:paraId="2F19DE53"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16</w:t>
            </w:r>
          </w:p>
        </w:tc>
        <w:tc>
          <w:tcPr>
            <w:tcW w:w="1711" w:type="dxa"/>
            <w:shd w:val="clear" w:color="auto" w:fill="auto"/>
            <w:noWrap/>
            <w:vAlign w:val="bottom"/>
            <w:hideMark/>
          </w:tcPr>
          <w:p w14:paraId="0E72EE45"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Puente Aranda</w:t>
            </w:r>
          </w:p>
        </w:tc>
        <w:tc>
          <w:tcPr>
            <w:tcW w:w="1581" w:type="dxa"/>
            <w:shd w:val="clear" w:color="auto" w:fill="auto"/>
            <w:noWrap/>
            <w:vAlign w:val="bottom"/>
            <w:hideMark/>
          </w:tcPr>
          <w:p w14:paraId="6A2B97EB"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23,155</w:t>
            </w:r>
          </w:p>
        </w:tc>
        <w:tc>
          <w:tcPr>
            <w:tcW w:w="1008" w:type="dxa"/>
            <w:shd w:val="clear" w:color="auto" w:fill="auto"/>
            <w:noWrap/>
            <w:vAlign w:val="bottom"/>
            <w:hideMark/>
          </w:tcPr>
          <w:p w14:paraId="256FFDD2"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10,61</w:t>
            </w:r>
          </w:p>
        </w:tc>
        <w:tc>
          <w:tcPr>
            <w:tcW w:w="922" w:type="dxa"/>
            <w:shd w:val="clear" w:color="auto" w:fill="auto"/>
            <w:noWrap/>
            <w:vAlign w:val="bottom"/>
            <w:hideMark/>
          </w:tcPr>
          <w:p w14:paraId="546926E6"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46%</w:t>
            </w:r>
          </w:p>
        </w:tc>
        <w:tc>
          <w:tcPr>
            <w:tcW w:w="1253" w:type="dxa"/>
            <w:shd w:val="clear" w:color="auto" w:fill="auto"/>
            <w:noWrap/>
            <w:vAlign w:val="bottom"/>
            <w:hideMark/>
          </w:tcPr>
          <w:p w14:paraId="6106159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12,545</w:t>
            </w:r>
          </w:p>
        </w:tc>
        <w:tc>
          <w:tcPr>
            <w:tcW w:w="1322" w:type="dxa"/>
            <w:shd w:val="clear" w:color="auto" w:fill="auto"/>
            <w:noWrap/>
            <w:vAlign w:val="bottom"/>
            <w:hideMark/>
          </w:tcPr>
          <w:p w14:paraId="4176A84E"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54%</w:t>
            </w:r>
          </w:p>
        </w:tc>
      </w:tr>
      <w:tr w:rsidR="00452820" w:rsidRPr="0013233C" w14:paraId="6F8457A4" w14:textId="77777777" w:rsidTr="00452820">
        <w:trPr>
          <w:trHeight w:val="300"/>
        </w:trPr>
        <w:tc>
          <w:tcPr>
            <w:tcW w:w="1460" w:type="dxa"/>
            <w:shd w:val="clear" w:color="auto" w:fill="auto"/>
            <w:noWrap/>
            <w:vAlign w:val="center"/>
            <w:hideMark/>
          </w:tcPr>
          <w:p w14:paraId="7004B602"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6</w:t>
            </w:r>
          </w:p>
        </w:tc>
        <w:tc>
          <w:tcPr>
            <w:tcW w:w="1711" w:type="dxa"/>
            <w:shd w:val="clear" w:color="auto" w:fill="auto"/>
            <w:noWrap/>
            <w:vAlign w:val="bottom"/>
            <w:hideMark/>
          </w:tcPr>
          <w:p w14:paraId="7FC75DD0"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Tunjuelito</w:t>
            </w:r>
          </w:p>
        </w:tc>
        <w:tc>
          <w:tcPr>
            <w:tcW w:w="1581" w:type="dxa"/>
            <w:shd w:val="clear" w:color="auto" w:fill="auto"/>
            <w:noWrap/>
            <w:vAlign w:val="bottom"/>
            <w:hideMark/>
          </w:tcPr>
          <w:p w14:paraId="1E67032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26,308</w:t>
            </w:r>
          </w:p>
        </w:tc>
        <w:tc>
          <w:tcPr>
            <w:tcW w:w="1008" w:type="dxa"/>
            <w:shd w:val="clear" w:color="auto" w:fill="auto"/>
            <w:noWrap/>
            <w:vAlign w:val="bottom"/>
            <w:hideMark/>
          </w:tcPr>
          <w:p w14:paraId="70F0BC1E"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12,369</w:t>
            </w:r>
          </w:p>
        </w:tc>
        <w:tc>
          <w:tcPr>
            <w:tcW w:w="922" w:type="dxa"/>
            <w:shd w:val="clear" w:color="auto" w:fill="auto"/>
            <w:noWrap/>
            <w:vAlign w:val="bottom"/>
            <w:hideMark/>
          </w:tcPr>
          <w:p w14:paraId="5E6DB9A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47%</w:t>
            </w:r>
          </w:p>
        </w:tc>
        <w:tc>
          <w:tcPr>
            <w:tcW w:w="1253" w:type="dxa"/>
            <w:shd w:val="clear" w:color="auto" w:fill="auto"/>
            <w:noWrap/>
            <w:vAlign w:val="bottom"/>
            <w:hideMark/>
          </w:tcPr>
          <w:p w14:paraId="3277B46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13,939</w:t>
            </w:r>
          </w:p>
        </w:tc>
        <w:tc>
          <w:tcPr>
            <w:tcW w:w="1322" w:type="dxa"/>
            <w:shd w:val="clear" w:color="auto" w:fill="auto"/>
            <w:noWrap/>
            <w:vAlign w:val="bottom"/>
            <w:hideMark/>
          </w:tcPr>
          <w:p w14:paraId="35509581"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53%</w:t>
            </w:r>
          </w:p>
        </w:tc>
      </w:tr>
      <w:tr w:rsidR="00452820" w:rsidRPr="0013233C" w14:paraId="4B8BEB32" w14:textId="77777777" w:rsidTr="00452820">
        <w:trPr>
          <w:trHeight w:val="300"/>
        </w:trPr>
        <w:tc>
          <w:tcPr>
            <w:tcW w:w="1460" w:type="dxa"/>
            <w:shd w:val="clear" w:color="auto" w:fill="auto"/>
            <w:noWrap/>
            <w:vAlign w:val="center"/>
            <w:hideMark/>
          </w:tcPr>
          <w:p w14:paraId="4323305B"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20</w:t>
            </w:r>
          </w:p>
        </w:tc>
        <w:tc>
          <w:tcPr>
            <w:tcW w:w="1711" w:type="dxa"/>
            <w:shd w:val="clear" w:color="auto" w:fill="auto"/>
            <w:noWrap/>
            <w:vAlign w:val="bottom"/>
            <w:hideMark/>
          </w:tcPr>
          <w:p w14:paraId="3802DD9D"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Sumapaz</w:t>
            </w:r>
          </w:p>
        </w:tc>
        <w:tc>
          <w:tcPr>
            <w:tcW w:w="1581" w:type="dxa"/>
            <w:shd w:val="clear" w:color="auto" w:fill="auto"/>
            <w:noWrap/>
            <w:vAlign w:val="bottom"/>
            <w:hideMark/>
          </w:tcPr>
          <w:p w14:paraId="60FC9F9B"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33,963</w:t>
            </w:r>
          </w:p>
        </w:tc>
        <w:tc>
          <w:tcPr>
            <w:tcW w:w="1008" w:type="dxa"/>
            <w:shd w:val="clear" w:color="auto" w:fill="auto"/>
            <w:noWrap/>
            <w:vAlign w:val="bottom"/>
            <w:hideMark/>
          </w:tcPr>
          <w:p w14:paraId="5683F9C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16,588</w:t>
            </w:r>
          </w:p>
        </w:tc>
        <w:tc>
          <w:tcPr>
            <w:tcW w:w="922" w:type="dxa"/>
            <w:shd w:val="clear" w:color="auto" w:fill="auto"/>
            <w:noWrap/>
            <w:vAlign w:val="bottom"/>
            <w:hideMark/>
          </w:tcPr>
          <w:p w14:paraId="2011A2BB"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49%</w:t>
            </w:r>
          </w:p>
        </w:tc>
        <w:tc>
          <w:tcPr>
            <w:tcW w:w="1253" w:type="dxa"/>
            <w:shd w:val="clear" w:color="auto" w:fill="auto"/>
            <w:noWrap/>
            <w:vAlign w:val="bottom"/>
            <w:hideMark/>
          </w:tcPr>
          <w:p w14:paraId="5F9CA132"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17,375</w:t>
            </w:r>
          </w:p>
        </w:tc>
        <w:tc>
          <w:tcPr>
            <w:tcW w:w="1322" w:type="dxa"/>
            <w:shd w:val="clear" w:color="auto" w:fill="auto"/>
            <w:noWrap/>
            <w:vAlign w:val="bottom"/>
            <w:hideMark/>
          </w:tcPr>
          <w:p w14:paraId="16E0DD06"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51%</w:t>
            </w:r>
          </w:p>
        </w:tc>
      </w:tr>
      <w:tr w:rsidR="00452820" w:rsidRPr="0013233C" w14:paraId="5FD9C76C" w14:textId="77777777" w:rsidTr="00452820">
        <w:trPr>
          <w:trHeight w:val="300"/>
        </w:trPr>
        <w:tc>
          <w:tcPr>
            <w:tcW w:w="1460" w:type="dxa"/>
            <w:shd w:val="clear" w:color="auto" w:fill="auto"/>
            <w:noWrap/>
            <w:vAlign w:val="center"/>
            <w:hideMark/>
          </w:tcPr>
          <w:p w14:paraId="51CAC9F6"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7</w:t>
            </w:r>
          </w:p>
        </w:tc>
        <w:tc>
          <w:tcPr>
            <w:tcW w:w="1711" w:type="dxa"/>
            <w:shd w:val="clear" w:color="auto" w:fill="auto"/>
            <w:noWrap/>
            <w:vAlign w:val="bottom"/>
            <w:hideMark/>
          </w:tcPr>
          <w:p w14:paraId="6BB2B250"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Bosa</w:t>
            </w:r>
          </w:p>
        </w:tc>
        <w:tc>
          <w:tcPr>
            <w:tcW w:w="1581" w:type="dxa"/>
            <w:shd w:val="clear" w:color="auto" w:fill="auto"/>
            <w:noWrap/>
            <w:vAlign w:val="bottom"/>
            <w:hideMark/>
          </w:tcPr>
          <w:p w14:paraId="416F9FF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62,762</w:t>
            </w:r>
          </w:p>
        </w:tc>
        <w:tc>
          <w:tcPr>
            <w:tcW w:w="1008" w:type="dxa"/>
            <w:shd w:val="clear" w:color="auto" w:fill="auto"/>
            <w:noWrap/>
            <w:vAlign w:val="bottom"/>
            <w:hideMark/>
          </w:tcPr>
          <w:p w14:paraId="7259DA11"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31,481</w:t>
            </w:r>
          </w:p>
        </w:tc>
        <w:tc>
          <w:tcPr>
            <w:tcW w:w="922" w:type="dxa"/>
            <w:shd w:val="clear" w:color="auto" w:fill="auto"/>
            <w:noWrap/>
            <w:vAlign w:val="bottom"/>
            <w:hideMark/>
          </w:tcPr>
          <w:p w14:paraId="7C0FB59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50%</w:t>
            </w:r>
          </w:p>
        </w:tc>
        <w:tc>
          <w:tcPr>
            <w:tcW w:w="1253" w:type="dxa"/>
            <w:shd w:val="clear" w:color="auto" w:fill="auto"/>
            <w:noWrap/>
            <w:vAlign w:val="bottom"/>
            <w:hideMark/>
          </w:tcPr>
          <w:p w14:paraId="01B71032"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31,281</w:t>
            </w:r>
          </w:p>
        </w:tc>
        <w:tc>
          <w:tcPr>
            <w:tcW w:w="1322" w:type="dxa"/>
            <w:shd w:val="clear" w:color="auto" w:fill="auto"/>
            <w:noWrap/>
            <w:vAlign w:val="bottom"/>
            <w:hideMark/>
          </w:tcPr>
          <w:p w14:paraId="66F4FEA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50%</w:t>
            </w:r>
          </w:p>
        </w:tc>
      </w:tr>
      <w:tr w:rsidR="00452820" w:rsidRPr="0013233C" w14:paraId="28F32A48" w14:textId="77777777" w:rsidTr="00452820">
        <w:trPr>
          <w:trHeight w:val="300"/>
        </w:trPr>
        <w:tc>
          <w:tcPr>
            <w:tcW w:w="1460" w:type="dxa"/>
            <w:shd w:val="clear" w:color="auto" w:fill="auto"/>
            <w:noWrap/>
            <w:vAlign w:val="center"/>
            <w:hideMark/>
          </w:tcPr>
          <w:p w14:paraId="40C47604"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17</w:t>
            </w:r>
          </w:p>
        </w:tc>
        <w:tc>
          <w:tcPr>
            <w:tcW w:w="1711" w:type="dxa"/>
            <w:shd w:val="clear" w:color="auto" w:fill="auto"/>
            <w:noWrap/>
            <w:vAlign w:val="bottom"/>
            <w:hideMark/>
          </w:tcPr>
          <w:p w14:paraId="4BF053FD"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La Candelaria </w:t>
            </w:r>
          </w:p>
        </w:tc>
        <w:tc>
          <w:tcPr>
            <w:tcW w:w="1581" w:type="dxa"/>
            <w:shd w:val="clear" w:color="auto" w:fill="auto"/>
            <w:noWrap/>
            <w:vAlign w:val="bottom"/>
            <w:hideMark/>
          </w:tcPr>
          <w:p w14:paraId="5DD2F74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7,302</w:t>
            </w:r>
          </w:p>
        </w:tc>
        <w:tc>
          <w:tcPr>
            <w:tcW w:w="1008" w:type="dxa"/>
            <w:shd w:val="clear" w:color="auto" w:fill="auto"/>
            <w:noWrap/>
            <w:vAlign w:val="bottom"/>
            <w:hideMark/>
          </w:tcPr>
          <w:p w14:paraId="0164A3D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3,684</w:t>
            </w:r>
          </w:p>
        </w:tc>
        <w:tc>
          <w:tcPr>
            <w:tcW w:w="922" w:type="dxa"/>
            <w:shd w:val="clear" w:color="auto" w:fill="auto"/>
            <w:noWrap/>
            <w:vAlign w:val="bottom"/>
            <w:hideMark/>
          </w:tcPr>
          <w:p w14:paraId="0CEDB15E"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50%</w:t>
            </w:r>
          </w:p>
        </w:tc>
        <w:tc>
          <w:tcPr>
            <w:tcW w:w="1253" w:type="dxa"/>
            <w:shd w:val="clear" w:color="auto" w:fill="auto"/>
            <w:noWrap/>
            <w:vAlign w:val="bottom"/>
            <w:hideMark/>
          </w:tcPr>
          <w:p w14:paraId="15BA233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3,618</w:t>
            </w:r>
          </w:p>
        </w:tc>
        <w:tc>
          <w:tcPr>
            <w:tcW w:w="1322" w:type="dxa"/>
            <w:shd w:val="clear" w:color="auto" w:fill="auto"/>
            <w:noWrap/>
            <w:vAlign w:val="bottom"/>
            <w:hideMark/>
          </w:tcPr>
          <w:p w14:paraId="20E5BF9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50%</w:t>
            </w:r>
          </w:p>
        </w:tc>
      </w:tr>
      <w:tr w:rsidR="00452820" w:rsidRPr="0013233C" w14:paraId="35BE6227" w14:textId="77777777" w:rsidTr="00452820">
        <w:trPr>
          <w:trHeight w:val="300"/>
        </w:trPr>
        <w:tc>
          <w:tcPr>
            <w:tcW w:w="1460" w:type="dxa"/>
            <w:shd w:val="clear" w:color="auto" w:fill="auto"/>
            <w:noWrap/>
            <w:vAlign w:val="center"/>
            <w:hideMark/>
          </w:tcPr>
          <w:p w14:paraId="13A9CD02"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9</w:t>
            </w:r>
          </w:p>
        </w:tc>
        <w:tc>
          <w:tcPr>
            <w:tcW w:w="1711" w:type="dxa"/>
            <w:shd w:val="clear" w:color="auto" w:fill="auto"/>
            <w:noWrap/>
            <w:vAlign w:val="bottom"/>
            <w:hideMark/>
          </w:tcPr>
          <w:p w14:paraId="742A9470"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Fontibón</w:t>
            </w:r>
          </w:p>
        </w:tc>
        <w:tc>
          <w:tcPr>
            <w:tcW w:w="1581" w:type="dxa"/>
            <w:shd w:val="clear" w:color="auto" w:fill="auto"/>
            <w:noWrap/>
            <w:vAlign w:val="bottom"/>
            <w:hideMark/>
          </w:tcPr>
          <w:p w14:paraId="208D728E"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53,36</w:t>
            </w:r>
          </w:p>
        </w:tc>
        <w:tc>
          <w:tcPr>
            <w:tcW w:w="1008" w:type="dxa"/>
            <w:shd w:val="clear" w:color="auto" w:fill="auto"/>
            <w:noWrap/>
            <w:vAlign w:val="bottom"/>
            <w:hideMark/>
          </w:tcPr>
          <w:p w14:paraId="6D7075FE"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28,068</w:t>
            </w:r>
          </w:p>
        </w:tc>
        <w:tc>
          <w:tcPr>
            <w:tcW w:w="922" w:type="dxa"/>
            <w:shd w:val="clear" w:color="auto" w:fill="auto"/>
            <w:noWrap/>
            <w:vAlign w:val="bottom"/>
            <w:hideMark/>
          </w:tcPr>
          <w:p w14:paraId="0E6B8B4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53%</w:t>
            </w:r>
          </w:p>
        </w:tc>
        <w:tc>
          <w:tcPr>
            <w:tcW w:w="1253" w:type="dxa"/>
            <w:shd w:val="clear" w:color="auto" w:fill="auto"/>
            <w:noWrap/>
            <w:vAlign w:val="bottom"/>
            <w:hideMark/>
          </w:tcPr>
          <w:p w14:paraId="4ECA31BA"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25,292</w:t>
            </w:r>
          </w:p>
        </w:tc>
        <w:tc>
          <w:tcPr>
            <w:tcW w:w="1322" w:type="dxa"/>
            <w:shd w:val="clear" w:color="auto" w:fill="auto"/>
            <w:noWrap/>
            <w:vAlign w:val="bottom"/>
            <w:hideMark/>
          </w:tcPr>
          <w:p w14:paraId="3DE282BD"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47%</w:t>
            </w:r>
          </w:p>
        </w:tc>
      </w:tr>
      <w:tr w:rsidR="00452820" w:rsidRPr="0013233C" w14:paraId="7EB92ACC" w14:textId="77777777" w:rsidTr="00452820">
        <w:trPr>
          <w:trHeight w:val="300"/>
        </w:trPr>
        <w:tc>
          <w:tcPr>
            <w:tcW w:w="1460" w:type="dxa"/>
            <w:shd w:val="clear" w:color="auto" w:fill="auto"/>
            <w:noWrap/>
            <w:vAlign w:val="center"/>
            <w:hideMark/>
          </w:tcPr>
          <w:p w14:paraId="63C855AC"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19</w:t>
            </w:r>
          </w:p>
        </w:tc>
        <w:tc>
          <w:tcPr>
            <w:tcW w:w="1711" w:type="dxa"/>
            <w:shd w:val="clear" w:color="auto" w:fill="auto"/>
            <w:noWrap/>
            <w:vAlign w:val="bottom"/>
            <w:hideMark/>
          </w:tcPr>
          <w:p w14:paraId="178B89B8"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Ciudad Bolívar</w:t>
            </w:r>
          </w:p>
        </w:tc>
        <w:tc>
          <w:tcPr>
            <w:tcW w:w="1581" w:type="dxa"/>
            <w:shd w:val="clear" w:color="auto" w:fill="auto"/>
            <w:noWrap/>
            <w:vAlign w:val="bottom"/>
            <w:hideMark/>
          </w:tcPr>
          <w:p w14:paraId="5F2F105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113,222</w:t>
            </w:r>
          </w:p>
        </w:tc>
        <w:tc>
          <w:tcPr>
            <w:tcW w:w="1008" w:type="dxa"/>
            <w:shd w:val="clear" w:color="auto" w:fill="auto"/>
            <w:noWrap/>
            <w:vAlign w:val="bottom"/>
            <w:hideMark/>
          </w:tcPr>
          <w:p w14:paraId="2B92B1C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65,921</w:t>
            </w:r>
          </w:p>
        </w:tc>
        <w:tc>
          <w:tcPr>
            <w:tcW w:w="922" w:type="dxa"/>
            <w:shd w:val="clear" w:color="auto" w:fill="auto"/>
            <w:noWrap/>
            <w:vAlign w:val="bottom"/>
            <w:hideMark/>
          </w:tcPr>
          <w:p w14:paraId="35BBB0E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58%</w:t>
            </w:r>
          </w:p>
        </w:tc>
        <w:tc>
          <w:tcPr>
            <w:tcW w:w="1253" w:type="dxa"/>
            <w:shd w:val="clear" w:color="auto" w:fill="auto"/>
            <w:noWrap/>
            <w:vAlign w:val="bottom"/>
            <w:hideMark/>
          </w:tcPr>
          <w:p w14:paraId="7C7F81C9"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47,302</w:t>
            </w:r>
          </w:p>
        </w:tc>
        <w:tc>
          <w:tcPr>
            <w:tcW w:w="1322" w:type="dxa"/>
            <w:shd w:val="clear" w:color="auto" w:fill="auto"/>
            <w:noWrap/>
            <w:vAlign w:val="bottom"/>
            <w:hideMark/>
          </w:tcPr>
          <w:p w14:paraId="42A2E85E"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42%</w:t>
            </w:r>
          </w:p>
        </w:tc>
      </w:tr>
      <w:tr w:rsidR="00452820" w:rsidRPr="0013233C" w14:paraId="4546A52B" w14:textId="77777777" w:rsidTr="00452820">
        <w:trPr>
          <w:trHeight w:val="300"/>
        </w:trPr>
        <w:tc>
          <w:tcPr>
            <w:tcW w:w="1460" w:type="dxa"/>
            <w:shd w:val="clear" w:color="auto" w:fill="auto"/>
            <w:noWrap/>
            <w:vAlign w:val="center"/>
            <w:hideMark/>
          </w:tcPr>
          <w:p w14:paraId="20ABCD58"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18</w:t>
            </w:r>
          </w:p>
        </w:tc>
        <w:tc>
          <w:tcPr>
            <w:tcW w:w="1711" w:type="dxa"/>
            <w:shd w:val="clear" w:color="auto" w:fill="auto"/>
            <w:noWrap/>
            <w:vAlign w:val="bottom"/>
            <w:hideMark/>
          </w:tcPr>
          <w:p w14:paraId="79F17EE9"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Rafael Uribe </w:t>
            </w:r>
          </w:p>
        </w:tc>
        <w:tc>
          <w:tcPr>
            <w:tcW w:w="1581" w:type="dxa"/>
            <w:shd w:val="clear" w:color="auto" w:fill="auto"/>
            <w:noWrap/>
            <w:vAlign w:val="bottom"/>
            <w:hideMark/>
          </w:tcPr>
          <w:p w14:paraId="409E9799"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54,135</w:t>
            </w:r>
          </w:p>
        </w:tc>
        <w:tc>
          <w:tcPr>
            <w:tcW w:w="1008" w:type="dxa"/>
            <w:shd w:val="clear" w:color="auto" w:fill="auto"/>
            <w:noWrap/>
            <w:vAlign w:val="bottom"/>
            <w:hideMark/>
          </w:tcPr>
          <w:p w14:paraId="1F2A923D"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31,925</w:t>
            </w:r>
          </w:p>
        </w:tc>
        <w:tc>
          <w:tcPr>
            <w:tcW w:w="922" w:type="dxa"/>
            <w:shd w:val="clear" w:color="auto" w:fill="auto"/>
            <w:noWrap/>
            <w:vAlign w:val="bottom"/>
            <w:hideMark/>
          </w:tcPr>
          <w:p w14:paraId="3F38F6D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59%</w:t>
            </w:r>
          </w:p>
        </w:tc>
        <w:tc>
          <w:tcPr>
            <w:tcW w:w="1253" w:type="dxa"/>
            <w:shd w:val="clear" w:color="auto" w:fill="auto"/>
            <w:noWrap/>
            <w:vAlign w:val="bottom"/>
            <w:hideMark/>
          </w:tcPr>
          <w:p w14:paraId="0762774B"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22,209</w:t>
            </w:r>
          </w:p>
        </w:tc>
        <w:tc>
          <w:tcPr>
            <w:tcW w:w="1322" w:type="dxa"/>
            <w:shd w:val="clear" w:color="auto" w:fill="auto"/>
            <w:noWrap/>
            <w:vAlign w:val="bottom"/>
            <w:hideMark/>
          </w:tcPr>
          <w:p w14:paraId="67871BE9"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41%</w:t>
            </w:r>
          </w:p>
        </w:tc>
      </w:tr>
      <w:tr w:rsidR="00452820" w:rsidRPr="0013233C" w14:paraId="282AD17B" w14:textId="77777777" w:rsidTr="00452820">
        <w:trPr>
          <w:trHeight w:val="300"/>
        </w:trPr>
        <w:tc>
          <w:tcPr>
            <w:tcW w:w="1460" w:type="dxa"/>
            <w:shd w:val="clear" w:color="auto" w:fill="auto"/>
            <w:noWrap/>
            <w:vAlign w:val="center"/>
            <w:hideMark/>
          </w:tcPr>
          <w:p w14:paraId="423B2F33"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4</w:t>
            </w:r>
          </w:p>
        </w:tc>
        <w:tc>
          <w:tcPr>
            <w:tcW w:w="1711" w:type="dxa"/>
            <w:shd w:val="clear" w:color="auto" w:fill="auto"/>
            <w:noWrap/>
            <w:vAlign w:val="bottom"/>
            <w:hideMark/>
          </w:tcPr>
          <w:p w14:paraId="738E836D"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San Cristóbal</w:t>
            </w:r>
          </w:p>
        </w:tc>
        <w:tc>
          <w:tcPr>
            <w:tcW w:w="1581" w:type="dxa"/>
            <w:shd w:val="clear" w:color="auto" w:fill="auto"/>
            <w:noWrap/>
            <w:vAlign w:val="bottom"/>
            <w:hideMark/>
          </w:tcPr>
          <w:p w14:paraId="3D54ECE0"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50,078</w:t>
            </w:r>
          </w:p>
        </w:tc>
        <w:tc>
          <w:tcPr>
            <w:tcW w:w="1008" w:type="dxa"/>
            <w:shd w:val="clear" w:color="auto" w:fill="auto"/>
            <w:noWrap/>
            <w:vAlign w:val="bottom"/>
            <w:hideMark/>
          </w:tcPr>
          <w:p w14:paraId="7E10260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29,892</w:t>
            </w:r>
          </w:p>
        </w:tc>
        <w:tc>
          <w:tcPr>
            <w:tcW w:w="922" w:type="dxa"/>
            <w:shd w:val="clear" w:color="auto" w:fill="auto"/>
            <w:noWrap/>
            <w:vAlign w:val="bottom"/>
            <w:hideMark/>
          </w:tcPr>
          <w:p w14:paraId="4C8F3CB9"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60%</w:t>
            </w:r>
          </w:p>
        </w:tc>
        <w:tc>
          <w:tcPr>
            <w:tcW w:w="1253" w:type="dxa"/>
            <w:shd w:val="clear" w:color="auto" w:fill="auto"/>
            <w:noWrap/>
            <w:vAlign w:val="bottom"/>
            <w:hideMark/>
          </w:tcPr>
          <w:p w14:paraId="2E1953F5"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20,187</w:t>
            </w:r>
          </w:p>
        </w:tc>
        <w:tc>
          <w:tcPr>
            <w:tcW w:w="1322" w:type="dxa"/>
            <w:shd w:val="clear" w:color="auto" w:fill="auto"/>
            <w:noWrap/>
            <w:vAlign w:val="bottom"/>
            <w:hideMark/>
          </w:tcPr>
          <w:p w14:paraId="1CB6B42D"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40%</w:t>
            </w:r>
          </w:p>
        </w:tc>
      </w:tr>
      <w:tr w:rsidR="00452820" w:rsidRPr="0013233C" w14:paraId="37009D0E" w14:textId="77777777" w:rsidTr="00452820">
        <w:trPr>
          <w:trHeight w:val="300"/>
        </w:trPr>
        <w:tc>
          <w:tcPr>
            <w:tcW w:w="1460" w:type="dxa"/>
            <w:shd w:val="clear" w:color="auto" w:fill="auto"/>
            <w:noWrap/>
            <w:vAlign w:val="center"/>
            <w:hideMark/>
          </w:tcPr>
          <w:p w14:paraId="0DB318D4"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8</w:t>
            </w:r>
          </w:p>
        </w:tc>
        <w:tc>
          <w:tcPr>
            <w:tcW w:w="1711" w:type="dxa"/>
            <w:shd w:val="clear" w:color="auto" w:fill="auto"/>
            <w:noWrap/>
            <w:vAlign w:val="bottom"/>
            <w:hideMark/>
          </w:tcPr>
          <w:p w14:paraId="2ACC38E3"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Kennedy</w:t>
            </w:r>
          </w:p>
        </w:tc>
        <w:tc>
          <w:tcPr>
            <w:tcW w:w="1581" w:type="dxa"/>
            <w:shd w:val="clear" w:color="auto" w:fill="auto"/>
            <w:noWrap/>
            <w:vAlign w:val="bottom"/>
            <w:hideMark/>
          </w:tcPr>
          <w:p w14:paraId="77AF14F5"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91,008</w:t>
            </w:r>
          </w:p>
        </w:tc>
        <w:tc>
          <w:tcPr>
            <w:tcW w:w="1008" w:type="dxa"/>
            <w:shd w:val="clear" w:color="auto" w:fill="auto"/>
            <w:noWrap/>
            <w:vAlign w:val="bottom"/>
            <w:hideMark/>
          </w:tcPr>
          <w:p w14:paraId="12C3F990"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54,596</w:t>
            </w:r>
          </w:p>
        </w:tc>
        <w:tc>
          <w:tcPr>
            <w:tcW w:w="922" w:type="dxa"/>
            <w:shd w:val="clear" w:color="auto" w:fill="auto"/>
            <w:noWrap/>
            <w:vAlign w:val="bottom"/>
            <w:hideMark/>
          </w:tcPr>
          <w:p w14:paraId="0349B4DA"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60%</w:t>
            </w:r>
          </w:p>
        </w:tc>
        <w:tc>
          <w:tcPr>
            <w:tcW w:w="1253" w:type="dxa"/>
            <w:shd w:val="clear" w:color="auto" w:fill="auto"/>
            <w:noWrap/>
            <w:vAlign w:val="bottom"/>
            <w:hideMark/>
          </w:tcPr>
          <w:p w14:paraId="3DABB0C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36,411</w:t>
            </w:r>
          </w:p>
        </w:tc>
        <w:tc>
          <w:tcPr>
            <w:tcW w:w="1322" w:type="dxa"/>
            <w:shd w:val="clear" w:color="auto" w:fill="auto"/>
            <w:noWrap/>
            <w:vAlign w:val="bottom"/>
            <w:hideMark/>
          </w:tcPr>
          <w:p w14:paraId="7EA91110"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40%</w:t>
            </w:r>
          </w:p>
        </w:tc>
      </w:tr>
      <w:tr w:rsidR="00452820" w:rsidRPr="0013233C" w14:paraId="2DE0A341" w14:textId="77777777" w:rsidTr="00452820">
        <w:trPr>
          <w:trHeight w:val="300"/>
        </w:trPr>
        <w:tc>
          <w:tcPr>
            <w:tcW w:w="1460" w:type="dxa"/>
            <w:shd w:val="clear" w:color="auto" w:fill="auto"/>
            <w:noWrap/>
            <w:vAlign w:val="center"/>
            <w:hideMark/>
          </w:tcPr>
          <w:p w14:paraId="2D9600DF"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11</w:t>
            </w:r>
          </w:p>
        </w:tc>
        <w:tc>
          <w:tcPr>
            <w:tcW w:w="1711" w:type="dxa"/>
            <w:shd w:val="clear" w:color="auto" w:fill="auto"/>
            <w:noWrap/>
            <w:vAlign w:val="bottom"/>
            <w:hideMark/>
          </w:tcPr>
          <w:p w14:paraId="6EAC3C3B"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Suba</w:t>
            </w:r>
          </w:p>
        </w:tc>
        <w:tc>
          <w:tcPr>
            <w:tcW w:w="1581" w:type="dxa"/>
            <w:shd w:val="clear" w:color="auto" w:fill="auto"/>
            <w:noWrap/>
            <w:vAlign w:val="bottom"/>
            <w:hideMark/>
          </w:tcPr>
          <w:p w14:paraId="608F9FBD"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71,113</w:t>
            </w:r>
          </w:p>
        </w:tc>
        <w:tc>
          <w:tcPr>
            <w:tcW w:w="1008" w:type="dxa"/>
            <w:shd w:val="clear" w:color="auto" w:fill="auto"/>
            <w:noWrap/>
            <w:vAlign w:val="bottom"/>
            <w:hideMark/>
          </w:tcPr>
          <w:p w14:paraId="00EFFCB1"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47,25</w:t>
            </w:r>
          </w:p>
        </w:tc>
        <w:tc>
          <w:tcPr>
            <w:tcW w:w="922" w:type="dxa"/>
            <w:shd w:val="clear" w:color="auto" w:fill="auto"/>
            <w:noWrap/>
            <w:vAlign w:val="bottom"/>
            <w:hideMark/>
          </w:tcPr>
          <w:p w14:paraId="11BDBC6A"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66%</w:t>
            </w:r>
          </w:p>
        </w:tc>
        <w:tc>
          <w:tcPr>
            <w:tcW w:w="1253" w:type="dxa"/>
            <w:shd w:val="clear" w:color="auto" w:fill="auto"/>
            <w:noWrap/>
            <w:vAlign w:val="bottom"/>
            <w:hideMark/>
          </w:tcPr>
          <w:p w14:paraId="36F1E522"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23,863</w:t>
            </w:r>
          </w:p>
        </w:tc>
        <w:tc>
          <w:tcPr>
            <w:tcW w:w="1322" w:type="dxa"/>
            <w:shd w:val="clear" w:color="auto" w:fill="auto"/>
            <w:noWrap/>
            <w:vAlign w:val="bottom"/>
            <w:hideMark/>
          </w:tcPr>
          <w:p w14:paraId="78F01849"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34%</w:t>
            </w:r>
          </w:p>
        </w:tc>
      </w:tr>
      <w:tr w:rsidR="00452820" w:rsidRPr="0013233C" w14:paraId="09A3CB61" w14:textId="77777777" w:rsidTr="00452820">
        <w:trPr>
          <w:trHeight w:val="300"/>
        </w:trPr>
        <w:tc>
          <w:tcPr>
            <w:tcW w:w="1460" w:type="dxa"/>
            <w:shd w:val="clear" w:color="auto" w:fill="auto"/>
            <w:noWrap/>
            <w:vAlign w:val="center"/>
            <w:hideMark/>
          </w:tcPr>
          <w:p w14:paraId="1DE3BC79"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10</w:t>
            </w:r>
          </w:p>
        </w:tc>
        <w:tc>
          <w:tcPr>
            <w:tcW w:w="1711" w:type="dxa"/>
            <w:shd w:val="clear" w:color="auto" w:fill="auto"/>
            <w:noWrap/>
            <w:vAlign w:val="bottom"/>
            <w:hideMark/>
          </w:tcPr>
          <w:p w14:paraId="44C228DA"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Engativá</w:t>
            </w:r>
          </w:p>
        </w:tc>
        <w:tc>
          <w:tcPr>
            <w:tcW w:w="1581" w:type="dxa"/>
            <w:shd w:val="clear" w:color="auto" w:fill="auto"/>
            <w:noWrap/>
            <w:vAlign w:val="bottom"/>
            <w:hideMark/>
          </w:tcPr>
          <w:p w14:paraId="67A60431"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46,233</w:t>
            </w:r>
          </w:p>
        </w:tc>
        <w:tc>
          <w:tcPr>
            <w:tcW w:w="1008" w:type="dxa"/>
            <w:shd w:val="clear" w:color="auto" w:fill="auto"/>
            <w:noWrap/>
            <w:vAlign w:val="bottom"/>
            <w:hideMark/>
          </w:tcPr>
          <w:p w14:paraId="66FBB33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31,797</w:t>
            </w:r>
          </w:p>
        </w:tc>
        <w:tc>
          <w:tcPr>
            <w:tcW w:w="922" w:type="dxa"/>
            <w:shd w:val="clear" w:color="auto" w:fill="auto"/>
            <w:noWrap/>
            <w:vAlign w:val="bottom"/>
            <w:hideMark/>
          </w:tcPr>
          <w:p w14:paraId="61169ED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69%</w:t>
            </w:r>
          </w:p>
        </w:tc>
        <w:tc>
          <w:tcPr>
            <w:tcW w:w="1253" w:type="dxa"/>
            <w:shd w:val="clear" w:color="auto" w:fill="auto"/>
            <w:noWrap/>
            <w:vAlign w:val="bottom"/>
            <w:hideMark/>
          </w:tcPr>
          <w:p w14:paraId="3BD88CDA"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14,436</w:t>
            </w:r>
          </w:p>
        </w:tc>
        <w:tc>
          <w:tcPr>
            <w:tcW w:w="1322" w:type="dxa"/>
            <w:shd w:val="clear" w:color="auto" w:fill="auto"/>
            <w:noWrap/>
            <w:vAlign w:val="bottom"/>
            <w:hideMark/>
          </w:tcPr>
          <w:p w14:paraId="7DA04C80"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31%</w:t>
            </w:r>
          </w:p>
        </w:tc>
      </w:tr>
      <w:tr w:rsidR="00452820" w:rsidRPr="0013233C" w14:paraId="685D70DC" w14:textId="77777777" w:rsidTr="00452820">
        <w:trPr>
          <w:trHeight w:val="300"/>
        </w:trPr>
        <w:tc>
          <w:tcPr>
            <w:tcW w:w="1460" w:type="dxa"/>
            <w:shd w:val="clear" w:color="auto" w:fill="auto"/>
            <w:noWrap/>
            <w:vAlign w:val="center"/>
            <w:hideMark/>
          </w:tcPr>
          <w:p w14:paraId="6BBE0BE5"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12</w:t>
            </w:r>
          </w:p>
        </w:tc>
        <w:tc>
          <w:tcPr>
            <w:tcW w:w="1711" w:type="dxa"/>
            <w:shd w:val="clear" w:color="auto" w:fill="auto"/>
            <w:noWrap/>
            <w:vAlign w:val="bottom"/>
            <w:hideMark/>
          </w:tcPr>
          <w:p w14:paraId="74DB5137"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Barrios Unidos </w:t>
            </w:r>
          </w:p>
        </w:tc>
        <w:tc>
          <w:tcPr>
            <w:tcW w:w="1581" w:type="dxa"/>
            <w:shd w:val="clear" w:color="auto" w:fill="auto"/>
            <w:noWrap/>
            <w:vAlign w:val="bottom"/>
            <w:hideMark/>
          </w:tcPr>
          <w:p w14:paraId="1CC7A318"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13,131</w:t>
            </w:r>
          </w:p>
        </w:tc>
        <w:tc>
          <w:tcPr>
            <w:tcW w:w="1008" w:type="dxa"/>
            <w:shd w:val="clear" w:color="auto" w:fill="auto"/>
            <w:noWrap/>
            <w:vAlign w:val="bottom"/>
            <w:hideMark/>
          </w:tcPr>
          <w:p w14:paraId="31C889CA"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9,75</w:t>
            </w:r>
          </w:p>
        </w:tc>
        <w:tc>
          <w:tcPr>
            <w:tcW w:w="922" w:type="dxa"/>
            <w:shd w:val="clear" w:color="auto" w:fill="auto"/>
            <w:noWrap/>
            <w:vAlign w:val="bottom"/>
            <w:hideMark/>
          </w:tcPr>
          <w:p w14:paraId="755ADB7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74%</w:t>
            </w:r>
          </w:p>
        </w:tc>
        <w:tc>
          <w:tcPr>
            <w:tcW w:w="1253" w:type="dxa"/>
            <w:shd w:val="clear" w:color="auto" w:fill="auto"/>
            <w:noWrap/>
            <w:vAlign w:val="bottom"/>
            <w:hideMark/>
          </w:tcPr>
          <w:p w14:paraId="39A1DF8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3,38</w:t>
            </w:r>
          </w:p>
        </w:tc>
        <w:tc>
          <w:tcPr>
            <w:tcW w:w="1322" w:type="dxa"/>
            <w:shd w:val="clear" w:color="auto" w:fill="auto"/>
            <w:noWrap/>
            <w:vAlign w:val="bottom"/>
            <w:hideMark/>
          </w:tcPr>
          <w:p w14:paraId="12086D80"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26%</w:t>
            </w:r>
          </w:p>
        </w:tc>
      </w:tr>
      <w:tr w:rsidR="00452820" w:rsidRPr="0013233C" w14:paraId="1E84DCF2" w14:textId="77777777" w:rsidTr="00452820">
        <w:trPr>
          <w:trHeight w:val="300"/>
        </w:trPr>
        <w:tc>
          <w:tcPr>
            <w:tcW w:w="1460" w:type="dxa"/>
            <w:shd w:val="clear" w:color="auto" w:fill="auto"/>
            <w:noWrap/>
            <w:vAlign w:val="center"/>
            <w:hideMark/>
          </w:tcPr>
          <w:p w14:paraId="63BF8BF3"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1</w:t>
            </w:r>
          </w:p>
        </w:tc>
        <w:tc>
          <w:tcPr>
            <w:tcW w:w="1711" w:type="dxa"/>
            <w:shd w:val="clear" w:color="auto" w:fill="auto"/>
            <w:noWrap/>
            <w:vAlign w:val="bottom"/>
            <w:hideMark/>
          </w:tcPr>
          <w:p w14:paraId="4668D5EC"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Usaquén </w:t>
            </w:r>
          </w:p>
        </w:tc>
        <w:tc>
          <w:tcPr>
            <w:tcW w:w="1581" w:type="dxa"/>
            <w:shd w:val="clear" w:color="auto" w:fill="auto"/>
            <w:noWrap/>
            <w:vAlign w:val="bottom"/>
            <w:hideMark/>
          </w:tcPr>
          <w:p w14:paraId="3EE3A71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10,544</w:t>
            </w:r>
          </w:p>
        </w:tc>
        <w:tc>
          <w:tcPr>
            <w:tcW w:w="1008" w:type="dxa"/>
            <w:shd w:val="clear" w:color="auto" w:fill="auto"/>
            <w:noWrap/>
            <w:vAlign w:val="bottom"/>
            <w:hideMark/>
          </w:tcPr>
          <w:p w14:paraId="3E8EB7F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7,925</w:t>
            </w:r>
          </w:p>
        </w:tc>
        <w:tc>
          <w:tcPr>
            <w:tcW w:w="922" w:type="dxa"/>
            <w:shd w:val="clear" w:color="auto" w:fill="auto"/>
            <w:noWrap/>
            <w:vAlign w:val="bottom"/>
            <w:hideMark/>
          </w:tcPr>
          <w:p w14:paraId="04351E16"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75%</w:t>
            </w:r>
          </w:p>
        </w:tc>
        <w:tc>
          <w:tcPr>
            <w:tcW w:w="1253" w:type="dxa"/>
            <w:shd w:val="clear" w:color="auto" w:fill="auto"/>
            <w:noWrap/>
            <w:vAlign w:val="bottom"/>
            <w:hideMark/>
          </w:tcPr>
          <w:p w14:paraId="04CFD5D0"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2,619</w:t>
            </w:r>
          </w:p>
        </w:tc>
        <w:tc>
          <w:tcPr>
            <w:tcW w:w="1322" w:type="dxa"/>
            <w:shd w:val="clear" w:color="auto" w:fill="auto"/>
            <w:noWrap/>
            <w:vAlign w:val="bottom"/>
            <w:hideMark/>
          </w:tcPr>
          <w:p w14:paraId="344A394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25%</w:t>
            </w:r>
          </w:p>
        </w:tc>
      </w:tr>
      <w:tr w:rsidR="00452820" w:rsidRPr="0013233C" w14:paraId="39AE7E24" w14:textId="77777777" w:rsidTr="00452820">
        <w:trPr>
          <w:trHeight w:val="300"/>
        </w:trPr>
        <w:tc>
          <w:tcPr>
            <w:tcW w:w="1460" w:type="dxa"/>
            <w:shd w:val="clear" w:color="auto" w:fill="auto"/>
            <w:noWrap/>
            <w:vAlign w:val="center"/>
            <w:hideMark/>
          </w:tcPr>
          <w:p w14:paraId="6A1CFC90" w14:textId="77777777" w:rsidR="00452820" w:rsidRPr="0013233C" w:rsidRDefault="00452820" w:rsidP="00452820">
            <w:pPr>
              <w:jc w:val="center"/>
              <w:rPr>
                <w:rFonts w:ascii="Arial" w:hAnsi="Arial" w:cs="Arial"/>
                <w:b/>
                <w:bCs/>
                <w:color w:val="000000"/>
                <w:sz w:val="22"/>
                <w:szCs w:val="22"/>
              </w:rPr>
            </w:pPr>
            <w:r w:rsidRPr="0013233C">
              <w:rPr>
                <w:rFonts w:ascii="Arial" w:hAnsi="Arial" w:cs="Arial"/>
                <w:b/>
                <w:bCs/>
                <w:color w:val="000000"/>
                <w:sz w:val="22"/>
                <w:szCs w:val="22"/>
              </w:rPr>
              <w:t>Documento</w:t>
            </w:r>
          </w:p>
        </w:tc>
        <w:tc>
          <w:tcPr>
            <w:tcW w:w="1711" w:type="dxa"/>
            <w:shd w:val="clear" w:color="000000" w:fill="E8E8E8"/>
            <w:noWrap/>
            <w:vAlign w:val="bottom"/>
            <w:hideMark/>
          </w:tcPr>
          <w:p w14:paraId="7512198B"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Total</w:t>
            </w:r>
          </w:p>
        </w:tc>
        <w:tc>
          <w:tcPr>
            <w:tcW w:w="1581" w:type="dxa"/>
            <w:shd w:val="clear" w:color="000000" w:fill="E8E8E8"/>
            <w:noWrap/>
            <w:vAlign w:val="bottom"/>
            <w:hideMark/>
          </w:tcPr>
          <w:p w14:paraId="526AE5A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831,278</w:t>
            </w:r>
          </w:p>
        </w:tc>
        <w:tc>
          <w:tcPr>
            <w:tcW w:w="1008" w:type="dxa"/>
            <w:shd w:val="clear" w:color="000000" w:fill="E8E8E8"/>
            <w:noWrap/>
            <w:vAlign w:val="bottom"/>
            <w:hideMark/>
          </w:tcPr>
          <w:p w14:paraId="69F910C1"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449,175</w:t>
            </w:r>
          </w:p>
        </w:tc>
        <w:tc>
          <w:tcPr>
            <w:tcW w:w="922" w:type="dxa"/>
            <w:shd w:val="clear" w:color="000000" w:fill="E8E8E8"/>
            <w:noWrap/>
            <w:vAlign w:val="bottom"/>
            <w:hideMark/>
          </w:tcPr>
          <w:p w14:paraId="1304BB32"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54%</w:t>
            </w:r>
          </w:p>
        </w:tc>
        <w:tc>
          <w:tcPr>
            <w:tcW w:w="1253" w:type="dxa"/>
            <w:shd w:val="clear" w:color="000000" w:fill="E8E8E8"/>
            <w:noWrap/>
            <w:vAlign w:val="bottom"/>
            <w:hideMark/>
          </w:tcPr>
          <w:p w14:paraId="378E230A"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382,103</w:t>
            </w:r>
          </w:p>
        </w:tc>
        <w:tc>
          <w:tcPr>
            <w:tcW w:w="1322" w:type="dxa"/>
            <w:shd w:val="clear" w:color="000000" w:fill="E8E8E8"/>
            <w:noWrap/>
            <w:vAlign w:val="bottom"/>
            <w:hideMark/>
          </w:tcPr>
          <w:p w14:paraId="62E3011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46%</w:t>
            </w:r>
          </w:p>
        </w:tc>
      </w:tr>
    </w:tbl>
    <w:p w14:paraId="762A054A" w14:textId="77777777" w:rsidR="00452820" w:rsidRPr="0013233C" w:rsidRDefault="00452820" w:rsidP="00452820">
      <w:pPr>
        <w:rPr>
          <w:rFonts w:ascii="Arial" w:hAnsi="Arial" w:cs="Arial"/>
          <w:sz w:val="22"/>
          <w:szCs w:val="22"/>
        </w:rPr>
      </w:pPr>
      <w:r w:rsidRPr="0013233C">
        <w:rPr>
          <w:rFonts w:ascii="Arial" w:hAnsi="Arial" w:cs="Arial"/>
          <w:sz w:val="22"/>
          <w:szCs w:val="22"/>
        </w:rPr>
        <w:t>Fuente: Veeduría Distrital, 2023</w:t>
      </w:r>
    </w:p>
    <w:p w14:paraId="4519DC65" w14:textId="77777777" w:rsidR="00452820" w:rsidRPr="0013233C" w:rsidRDefault="00452820" w:rsidP="00452820">
      <w:pPr>
        <w:rPr>
          <w:rFonts w:ascii="Arial" w:hAnsi="Arial" w:cs="Arial"/>
          <w:sz w:val="22"/>
          <w:szCs w:val="22"/>
        </w:rPr>
      </w:pPr>
    </w:p>
    <w:p w14:paraId="0C28F9EB" w14:textId="58F85AF8" w:rsidR="00452820" w:rsidRPr="0013233C" w:rsidRDefault="00452820" w:rsidP="00452820">
      <w:pPr>
        <w:rPr>
          <w:rFonts w:ascii="Arial" w:hAnsi="Arial" w:cs="Arial"/>
          <w:sz w:val="22"/>
          <w:szCs w:val="22"/>
        </w:rPr>
      </w:pPr>
    </w:p>
    <w:p w14:paraId="3EBCE34D" w14:textId="3A532AD0" w:rsidR="00422AA4" w:rsidRPr="0013233C" w:rsidRDefault="00422AA4" w:rsidP="00452820">
      <w:pPr>
        <w:rPr>
          <w:rFonts w:ascii="Arial" w:hAnsi="Arial" w:cs="Arial"/>
          <w:sz w:val="22"/>
          <w:szCs w:val="22"/>
        </w:rPr>
      </w:pPr>
    </w:p>
    <w:p w14:paraId="1B085D14" w14:textId="77777777" w:rsidR="00452820" w:rsidRPr="0013233C" w:rsidRDefault="00452820" w:rsidP="00452820">
      <w:pPr>
        <w:jc w:val="both"/>
        <w:rPr>
          <w:rFonts w:ascii="Arial" w:hAnsi="Arial" w:cs="Arial"/>
          <w:sz w:val="22"/>
          <w:szCs w:val="22"/>
        </w:rPr>
      </w:pPr>
      <w:r w:rsidRPr="0013233C">
        <w:rPr>
          <w:rFonts w:ascii="Arial" w:hAnsi="Arial" w:cs="Arial"/>
          <w:sz w:val="22"/>
          <w:szCs w:val="22"/>
        </w:rPr>
        <w:t>Así las cosas, hasta el mes de septiembre del 2023, las obligaciones por girar tenían un valor de $382.103 millones para un total del 64% de la apropiación disponible. Además, a continuación, se puede observar el estado, a 30 de septiembre de 2023, de la cantidad de OPP según su estado.</w:t>
      </w:r>
    </w:p>
    <w:p w14:paraId="2AE77E4A" w14:textId="77777777" w:rsidR="00452820" w:rsidRPr="0013233C" w:rsidRDefault="00452820" w:rsidP="00452820">
      <w:pPr>
        <w:jc w:val="both"/>
        <w:rPr>
          <w:rFonts w:ascii="Arial" w:hAnsi="Arial" w:cs="Arial"/>
          <w:i/>
          <w:iCs/>
          <w:sz w:val="22"/>
          <w:szCs w:val="22"/>
          <w:u w:val="single"/>
        </w:rPr>
      </w:pPr>
    </w:p>
    <w:p w14:paraId="0DE4B54D" w14:textId="77777777" w:rsidR="00452820" w:rsidRPr="0013233C" w:rsidRDefault="00452820" w:rsidP="00452820">
      <w:pPr>
        <w:jc w:val="both"/>
        <w:rPr>
          <w:rFonts w:ascii="Arial" w:hAnsi="Arial" w:cs="Arial"/>
          <w:i/>
          <w:iCs/>
          <w:sz w:val="22"/>
          <w:szCs w:val="22"/>
          <w:u w:val="single"/>
        </w:rPr>
      </w:pPr>
    </w:p>
    <w:p w14:paraId="1A0C0B57" w14:textId="77777777" w:rsidR="00452820" w:rsidRPr="0013233C" w:rsidRDefault="00452820" w:rsidP="00452820">
      <w:pPr>
        <w:jc w:val="both"/>
        <w:rPr>
          <w:rFonts w:ascii="Arial" w:hAnsi="Arial" w:cs="Arial"/>
          <w:sz w:val="22"/>
          <w:szCs w:val="22"/>
        </w:rPr>
      </w:pPr>
      <w:r w:rsidRPr="0013233C">
        <w:rPr>
          <w:rFonts w:ascii="Arial" w:hAnsi="Arial" w:cs="Arial"/>
          <w:noProof/>
          <w:sz w:val="22"/>
          <w:szCs w:val="22"/>
          <w:lang w:eastAsia="es-CO"/>
        </w:rPr>
        <w:drawing>
          <wp:inline distT="0" distB="0" distL="0" distR="0" wp14:anchorId="3C18771F" wp14:editId="119EAC78">
            <wp:extent cx="5440680" cy="3727450"/>
            <wp:effectExtent l="0" t="0" r="7620" b="6350"/>
            <wp:docPr id="1942028109" name="Gráfico 1">
              <a:extLst xmlns:a="http://schemas.openxmlformats.org/drawingml/2006/main">
                <a:ext uri="{FF2B5EF4-FFF2-40B4-BE49-F238E27FC236}">
                  <a16:creationId xmlns:a16="http://schemas.microsoft.com/office/drawing/2014/main" id="{23AB895E-6BF9-9BD0-DCAB-EFACD34C61C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B1BBD34" w14:textId="6F68DD95" w:rsidR="00452820" w:rsidRPr="0013233C" w:rsidRDefault="00452820" w:rsidP="00452820">
      <w:pPr>
        <w:tabs>
          <w:tab w:val="left" w:pos="2869"/>
        </w:tabs>
        <w:rPr>
          <w:rFonts w:ascii="Arial" w:hAnsi="Arial" w:cs="Arial"/>
          <w:sz w:val="22"/>
          <w:szCs w:val="22"/>
        </w:rPr>
      </w:pPr>
      <w:r w:rsidRPr="0013233C">
        <w:rPr>
          <w:rFonts w:ascii="Arial" w:hAnsi="Arial" w:cs="Arial"/>
          <w:sz w:val="22"/>
          <w:szCs w:val="22"/>
        </w:rPr>
        <w:t>Fuente: Veeduría Distrital, 2023.</w:t>
      </w:r>
    </w:p>
    <w:p w14:paraId="25098A74" w14:textId="7A113836" w:rsidR="00422AA4" w:rsidRPr="0013233C" w:rsidRDefault="00422AA4" w:rsidP="00452820">
      <w:pPr>
        <w:tabs>
          <w:tab w:val="left" w:pos="2869"/>
        </w:tabs>
        <w:rPr>
          <w:rFonts w:ascii="Arial" w:hAnsi="Arial" w:cs="Arial"/>
          <w:sz w:val="22"/>
          <w:szCs w:val="22"/>
        </w:rPr>
      </w:pPr>
    </w:p>
    <w:p w14:paraId="01A6790A" w14:textId="6A7E2D34" w:rsidR="00422AA4" w:rsidRPr="0013233C" w:rsidRDefault="00422AA4" w:rsidP="00452820">
      <w:pPr>
        <w:tabs>
          <w:tab w:val="left" w:pos="2869"/>
        </w:tabs>
        <w:rPr>
          <w:rFonts w:ascii="Arial" w:hAnsi="Arial" w:cs="Arial"/>
          <w:sz w:val="22"/>
          <w:szCs w:val="22"/>
        </w:rPr>
      </w:pPr>
    </w:p>
    <w:p w14:paraId="0599030E" w14:textId="5A16E2E3" w:rsidR="00422AA4" w:rsidRPr="0013233C" w:rsidRDefault="00422AA4" w:rsidP="00452820">
      <w:pPr>
        <w:tabs>
          <w:tab w:val="left" w:pos="2869"/>
        </w:tabs>
        <w:rPr>
          <w:rFonts w:ascii="Arial" w:hAnsi="Arial" w:cs="Arial"/>
          <w:sz w:val="22"/>
          <w:szCs w:val="22"/>
        </w:rPr>
      </w:pPr>
    </w:p>
    <w:p w14:paraId="3B0AFE26" w14:textId="2FC4CFEC" w:rsidR="00422AA4" w:rsidRPr="0013233C" w:rsidRDefault="00422AA4" w:rsidP="00452820">
      <w:pPr>
        <w:tabs>
          <w:tab w:val="left" w:pos="2869"/>
        </w:tabs>
        <w:rPr>
          <w:rFonts w:ascii="Arial" w:hAnsi="Arial" w:cs="Arial"/>
          <w:sz w:val="22"/>
          <w:szCs w:val="22"/>
        </w:rPr>
      </w:pPr>
    </w:p>
    <w:p w14:paraId="2C695B97" w14:textId="60EB74F0" w:rsidR="00422AA4" w:rsidRPr="0013233C" w:rsidRDefault="00422AA4" w:rsidP="00452820">
      <w:pPr>
        <w:tabs>
          <w:tab w:val="left" w:pos="2869"/>
        </w:tabs>
        <w:rPr>
          <w:rFonts w:ascii="Arial" w:hAnsi="Arial" w:cs="Arial"/>
          <w:sz w:val="22"/>
          <w:szCs w:val="22"/>
        </w:rPr>
      </w:pPr>
    </w:p>
    <w:p w14:paraId="43F20729" w14:textId="37097FEB" w:rsidR="00422AA4" w:rsidRPr="0013233C" w:rsidRDefault="00422AA4" w:rsidP="00452820">
      <w:pPr>
        <w:tabs>
          <w:tab w:val="left" w:pos="2869"/>
        </w:tabs>
        <w:rPr>
          <w:rFonts w:ascii="Arial" w:hAnsi="Arial" w:cs="Arial"/>
          <w:sz w:val="22"/>
          <w:szCs w:val="22"/>
        </w:rPr>
      </w:pPr>
    </w:p>
    <w:p w14:paraId="027D33EA" w14:textId="183D4DCF" w:rsidR="00422AA4" w:rsidRPr="0013233C" w:rsidRDefault="00422AA4" w:rsidP="00452820">
      <w:pPr>
        <w:tabs>
          <w:tab w:val="left" w:pos="2869"/>
        </w:tabs>
        <w:rPr>
          <w:rFonts w:ascii="Arial" w:hAnsi="Arial" w:cs="Arial"/>
          <w:sz w:val="22"/>
          <w:szCs w:val="22"/>
        </w:rPr>
      </w:pPr>
    </w:p>
    <w:p w14:paraId="02DEC1B7" w14:textId="36BA46D9" w:rsidR="00422AA4" w:rsidRPr="0013233C" w:rsidRDefault="00422AA4" w:rsidP="00452820">
      <w:pPr>
        <w:tabs>
          <w:tab w:val="left" w:pos="2869"/>
        </w:tabs>
        <w:rPr>
          <w:rFonts w:ascii="Arial" w:hAnsi="Arial" w:cs="Arial"/>
          <w:sz w:val="22"/>
          <w:szCs w:val="22"/>
        </w:rPr>
      </w:pPr>
    </w:p>
    <w:p w14:paraId="233CC39C" w14:textId="6D28FACE" w:rsidR="00422AA4" w:rsidRPr="0013233C" w:rsidRDefault="00422AA4" w:rsidP="00452820">
      <w:pPr>
        <w:tabs>
          <w:tab w:val="left" w:pos="2869"/>
        </w:tabs>
        <w:rPr>
          <w:rFonts w:ascii="Arial" w:hAnsi="Arial" w:cs="Arial"/>
          <w:sz w:val="22"/>
          <w:szCs w:val="22"/>
        </w:rPr>
      </w:pPr>
    </w:p>
    <w:p w14:paraId="582AA772" w14:textId="77777777" w:rsidR="00422AA4" w:rsidRPr="0013233C" w:rsidRDefault="00422AA4" w:rsidP="00452820">
      <w:pPr>
        <w:tabs>
          <w:tab w:val="left" w:pos="2869"/>
        </w:tabs>
        <w:rPr>
          <w:rFonts w:ascii="Arial" w:hAnsi="Arial" w:cs="Arial"/>
          <w:sz w:val="22"/>
          <w:szCs w:val="22"/>
        </w:rPr>
      </w:pPr>
    </w:p>
    <w:p w14:paraId="5236615C" w14:textId="77777777" w:rsidR="00452820" w:rsidRPr="0013233C" w:rsidRDefault="00452820" w:rsidP="00452820">
      <w:pPr>
        <w:tabs>
          <w:tab w:val="left" w:pos="2869"/>
        </w:tabs>
        <w:rPr>
          <w:rFonts w:ascii="Arial" w:hAnsi="Arial" w:cs="Arial"/>
          <w:sz w:val="22"/>
          <w:szCs w:val="22"/>
        </w:rPr>
      </w:pPr>
    </w:p>
    <w:p w14:paraId="7358AB70" w14:textId="2CF880BA" w:rsidR="006B5508" w:rsidRPr="0013233C" w:rsidRDefault="00452820" w:rsidP="00422AA4">
      <w:pPr>
        <w:tabs>
          <w:tab w:val="left" w:pos="2869"/>
        </w:tabs>
        <w:jc w:val="both"/>
        <w:rPr>
          <w:rFonts w:ascii="Arial" w:hAnsi="Arial" w:cs="Arial"/>
          <w:i/>
          <w:iCs/>
          <w:sz w:val="22"/>
          <w:szCs w:val="22"/>
          <w:u w:val="single"/>
        </w:rPr>
      </w:pPr>
      <w:r w:rsidRPr="0013233C">
        <w:rPr>
          <w:rFonts w:ascii="Arial" w:hAnsi="Arial" w:cs="Arial"/>
          <w:sz w:val="22"/>
          <w:szCs w:val="22"/>
        </w:rPr>
        <w:t>Sumado a lo anterior, a continuación, se puede ver cómo, a corte del 30 de septiembre de 2023, se encontraban los saldos por girar de la OPP por cada una de las localidades.</w:t>
      </w:r>
    </w:p>
    <w:p w14:paraId="78A2B4C8" w14:textId="77777777" w:rsidR="006B5508" w:rsidRPr="0013233C" w:rsidRDefault="006B5508" w:rsidP="00452820">
      <w:pPr>
        <w:jc w:val="both"/>
        <w:rPr>
          <w:rFonts w:ascii="Arial" w:hAnsi="Arial" w:cs="Arial"/>
          <w:sz w:val="22"/>
          <w:szCs w:val="22"/>
        </w:rPr>
      </w:pPr>
    </w:p>
    <w:p w14:paraId="1331ED61" w14:textId="77777777" w:rsidR="00452820" w:rsidRPr="0013233C" w:rsidRDefault="00452820" w:rsidP="00452820">
      <w:pPr>
        <w:jc w:val="both"/>
        <w:rPr>
          <w:rFonts w:ascii="Arial" w:hAnsi="Arial" w:cs="Arial"/>
          <w:i/>
          <w:iCs/>
          <w:sz w:val="22"/>
          <w:szCs w:val="22"/>
        </w:rPr>
      </w:pPr>
    </w:p>
    <w:tbl>
      <w:tblPr>
        <w:tblW w:w="9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60"/>
        <w:gridCol w:w="2144"/>
        <w:gridCol w:w="1701"/>
        <w:gridCol w:w="2126"/>
        <w:gridCol w:w="1843"/>
      </w:tblGrid>
      <w:tr w:rsidR="00452820" w:rsidRPr="0013233C" w14:paraId="437F785B" w14:textId="77777777" w:rsidTr="00452820">
        <w:trPr>
          <w:trHeight w:val="735"/>
        </w:trPr>
        <w:tc>
          <w:tcPr>
            <w:tcW w:w="9274" w:type="dxa"/>
            <w:gridSpan w:val="5"/>
            <w:shd w:val="clear" w:color="000000" w:fill="D9D9D9"/>
            <w:vAlign w:val="bottom"/>
            <w:hideMark/>
          </w:tcPr>
          <w:p w14:paraId="7D6C6C30" w14:textId="77777777" w:rsidR="00452820" w:rsidRPr="0013233C" w:rsidRDefault="00452820" w:rsidP="00452820">
            <w:pPr>
              <w:jc w:val="center"/>
              <w:rPr>
                <w:rFonts w:ascii="Arial" w:hAnsi="Arial" w:cs="Arial"/>
                <w:color w:val="000000"/>
                <w:sz w:val="22"/>
                <w:szCs w:val="22"/>
              </w:rPr>
            </w:pPr>
            <w:r w:rsidRPr="0013233C">
              <w:rPr>
                <w:rFonts w:ascii="Arial" w:hAnsi="Arial" w:cs="Arial"/>
                <w:color w:val="000000"/>
                <w:sz w:val="22"/>
                <w:szCs w:val="22"/>
              </w:rPr>
              <w:t>Tabla 3. Distribución de los saldos por girar de las OPP por localidad, con corte a 30 de septiembre de 2023 (Cifras en millones de pesos)</w:t>
            </w:r>
          </w:p>
        </w:tc>
      </w:tr>
      <w:tr w:rsidR="00452820" w:rsidRPr="0013233C" w14:paraId="43F1D929" w14:textId="77777777" w:rsidTr="00452820">
        <w:trPr>
          <w:trHeight w:val="300"/>
        </w:trPr>
        <w:tc>
          <w:tcPr>
            <w:tcW w:w="1460" w:type="dxa"/>
            <w:shd w:val="clear" w:color="auto" w:fill="auto"/>
            <w:noWrap/>
            <w:vAlign w:val="bottom"/>
            <w:hideMark/>
          </w:tcPr>
          <w:p w14:paraId="0C390BE9" w14:textId="77777777" w:rsidR="00452820" w:rsidRPr="0013233C" w:rsidRDefault="00452820" w:rsidP="00452820">
            <w:pPr>
              <w:rPr>
                <w:rFonts w:ascii="Arial" w:hAnsi="Arial" w:cs="Arial"/>
                <w:b/>
                <w:bCs/>
                <w:color w:val="000000"/>
                <w:sz w:val="22"/>
                <w:szCs w:val="22"/>
              </w:rPr>
            </w:pPr>
            <w:r w:rsidRPr="0013233C">
              <w:rPr>
                <w:rFonts w:ascii="Arial" w:hAnsi="Arial" w:cs="Arial"/>
                <w:b/>
                <w:bCs/>
                <w:color w:val="000000"/>
                <w:sz w:val="22"/>
                <w:szCs w:val="22"/>
              </w:rPr>
              <w:t>No.</w:t>
            </w:r>
          </w:p>
        </w:tc>
        <w:tc>
          <w:tcPr>
            <w:tcW w:w="2144" w:type="dxa"/>
            <w:shd w:val="clear" w:color="auto" w:fill="auto"/>
            <w:noWrap/>
            <w:vAlign w:val="bottom"/>
            <w:hideMark/>
          </w:tcPr>
          <w:p w14:paraId="038A9CC0" w14:textId="77777777" w:rsidR="00452820" w:rsidRPr="0013233C" w:rsidRDefault="00452820" w:rsidP="00452820">
            <w:pPr>
              <w:rPr>
                <w:rFonts w:ascii="Arial" w:hAnsi="Arial" w:cs="Arial"/>
                <w:b/>
                <w:bCs/>
                <w:color w:val="000000"/>
                <w:sz w:val="22"/>
                <w:szCs w:val="22"/>
              </w:rPr>
            </w:pPr>
            <w:r w:rsidRPr="0013233C">
              <w:rPr>
                <w:rFonts w:ascii="Arial" w:hAnsi="Arial" w:cs="Arial"/>
                <w:b/>
                <w:bCs/>
                <w:color w:val="000000"/>
                <w:sz w:val="22"/>
                <w:szCs w:val="22"/>
              </w:rPr>
              <w:t>Localidad</w:t>
            </w:r>
          </w:p>
        </w:tc>
        <w:tc>
          <w:tcPr>
            <w:tcW w:w="1701" w:type="dxa"/>
            <w:shd w:val="clear" w:color="auto" w:fill="auto"/>
            <w:noWrap/>
            <w:vAlign w:val="bottom"/>
            <w:hideMark/>
          </w:tcPr>
          <w:p w14:paraId="77AC2094" w14:textId="77777777" w:rsidR="00452820" w:rsidRPr="0013233C" w:rsidRDefault="00452820" w:rsidP="00452820">
            <w:pPr>
              <w:rPr>
                <w:rFonts w:ascii="Arial" w:hAnsi="Arial" w:cs="Arial"/>
                <w:b/>
                <w:bCs/>
                <w:color w:val="000000"/>
                <w:sz w:val="22"/>
                <w:szCs w:val="22"/>
              </w:rPr>
            </w:pPr>
            <w:r w:rsidRPr="0013233C">
              <w:rPr>
                <w:rFonts w:ascii="Arial" w:hAnsi="Arial" w:cs="Arial"/>
                <w:b/>
                <w:bCs/>
                <w:color w:val="000000"/>
                <w:sz w:val="22"/>
                <w:szCs w:val="22"/>
              </w:rPr>
              <w:t>No. OPP</w:t>
            </w:r>
          </w:p>
        </w:tc>
        <w:tc>
          <w:tcPr>
            <w:tcW w:w="2126" w:type="dxa"/>
            <w:shd w:val="clear" w:color="auto" w:fill="auto"/>
            <w:noWrap/>
            <w:vAlign w:val="bottom"/>
            <w:hideMark/>
          </w:tcPr>
          <w:p w14:paraId="216ABBC3" w14:textId="77777777" w:rsidR="00452820" w:rsidRPr="0013233C" w:rsidRDefault="00452820" w:rsidP="00452820">
            <w:pPr>
              <w:rPr>
                <w:rFonts w:ascii="Arial" w:hAnsi="Arial" w:cs="Arial"/>
                <w:b/>
                <w:bCs/>
                <w:color w:val="000000"/>
                <w:sz w:val="22"/>
                <w:szCs w:val="22"/>
              </w:rPr>
            </w:pPr>
            <w:r w:rsidRPr="0013233C">
              <w:rPr>
                <w:rFonts w:ascii="Arial" w:hAnsi="Arial" w:cs="Arial"/>
                <w:b/>
                <w:bCs/>
                <w:color w:val="000000"/>
                <w:sz w:val="22"/>
                <w:szCs w:val="22"/>
              </w:rPr>
              <w:t xml:space="preserve">Valor </w:t>
            </w:r>
          </w:p>
        </w:tc>
        <w:tc>
          <w:tcPr>
            <w:tcW w:w="1843" w:type="dxa"/>
            <w:shd w:val="clear" w:color="auto" w:fill="auto"/>
            <w:noWrap/>
            <w:vAlign w:val="bottom"/>
            <w:hideMark/>
          </w:tcPr>
          <w:p w14:paraId="16B1F432" w14:textId="77777777" w:rsidR="00452820" w:rsidRPr="0013233C" w:rsidRDefault="00452820" w:rsidP="00452820">
            <w:pPr>
              <w:rPr>
                <w:rFonts w:ascii="Arial" w:hAnsi="Arial" w:cs="Arial"/>
                <w:b/>
                <w:bCs/>
                <w:color w:val="000000"/>
                <w:sz w:val="22"/>
                <w:szCs w:val="22"/>
              </w:rPr>
            </w:pPr>
            <w:r w:rsidRPr="0013233C">
              <w:rPr>
                <w:rFonts w:ascii="Arial" w:hAnsi="Arial" w:cs="Arial"/>
                <w:b/>
                <w:bCs/>
                <w:color w:val="000000"/>
                <w:sz w:val="22"/>
                <w:szCs w:val="22"/>
              </w:rPr>
              <w:t xml:space="preserve">Participación </w:t>
            </w:r>
          </w:p>
        </w:tc>
      </w:tr>
      <w:tr w:rsidR="00452820" w:rsidRPr="0013233C" w14:paraId="130F2C44" w14:textId="77777777" w:rsidTr="00452820">
        <w:trPr>
          <w:trHeight w:val="300"/>
        </w:trPr>
        <w:tc>
          <w:tcPr>
            <w:tcW w:w="1460" w:type="dxa"/>
            <w:shd w:val="clear" w:color="auto" w:fill="auto"/>
            <w:noWrap/>
            <w:vAlign w:val="bottom"/>
            <w:hideMark/>
          </w:tcPr>
          <w:p w14:paraId="3024E02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19</w:t>
            </w:r>
          </w:p>
        </w:tc>
        <w:tc>
          <w:tcPr>
            <w:tcW w:w="2144" w:type="dxa"/>
            <w:shd w:val="clear" w:color="auto" w:fill="auto"/>
            <w:noWrap/>
            <w:vAlign w:val="bottom"/>
            <w:hideMark/>
          </w:tcPr>
          <w:p w14:paraId="11B8CF81"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Ciudad Bolívar</w:t>
            </w:r>
          </w:p>
        </w:tc>
        <w:tc>
          <w:tcPr>
            <w:tcW w:w="1701" w:type="dxa"/>
            <w:shd w:val="clear" w:color="auto" w:fill="auto"/>
            <w:noWrap/>
            <w:vAlign w:val="bottom"/>
            <w:hideMark/>
          </w:tcPr>
          <w:p w14:paraId="79FD415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447</w:t>
            </w:r>
          </w:p>
        </w:tc>
        <w:tc>
          <w:tcPr>
            <w:tcW w:w="2126" w:type="dxa"/>
            <w:shd w:val="clear" w:color="auto" w:fill="auto"/>
            <w:noWrap/>
            <w:vAlign w:val="bottom"/>
            <w:hideMark/>
          </w:tcPr>
          <w:p w14:paraId="03C03FE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46.763</w:t>
            </w:r>
          </w:p>
        </w:tc>
        <w:tc>
          <w:tcPr>
            <w:tcW w:w="1843" w:type="dxa"/>
            <w:shd w:val="clear" w:color="auto" w:fill="auto"/>
            <w:noWrap/>
            <w:vAlign w:val="bottom"/>
            <w:hideMark/>
          </w:tcPr>
          <w:p w14:paraId="0161769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12,40%</w:t>
            </w:r>
          </w:p>
        </w:tc>
      </w:tr>
      <w:tr w:rsidR="00452820" w:rsidRPr="0013233C" w14:paraId="09973114" w14:textId="77777777" w:rsidTr="00452820">
        <w:trPr>
          <w:trHeight w:val="300"/>
        </w:trPr>
        <w:tc>
          <w:tcPr>
            <w:tcW w:w="1460" w:type="dxa"/>
            <w:shd w:val="clear" w:color="auto" w:fill="auto"/>
            <w:noWrap/>
            <w:vAlign w:val="bottom"/>
            <w:hideMark/>
          </w:tcPr>
          <w:p w14:paraId="4821E30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w:t>
            </w:r>
          </w:p>
        </w:tc>
        <w:tc>
          <w:tcPr>
            <w:tcW w:w="2144" w:type="dxa"/>
            <w:shd w:val="clear" w:color="auto" w:fill="auto"/>
            <w:noWrap/>
            <w:vAlign w:val="bottom"/>
            <w:hideMark/>
          </w:tcPr>
          <w:p w14:paraId="570F5CF8"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Usme </w:t>
            </w:r>
          </w:p>
        </w:tc>
        <w:tc>
          <w:tcPr>
            <w:tcW w:w="1701" w:type="dxa"/>
            <w:shd w:val="clear" w:color="auto" w:fill="auto"/>
            <w:noWrap/>
            <w:vAlign w:val="bottom"/>
            <w:hideMark/>
          </w:tcPr>
          <w:p w14:paraId="036E7AF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219</w:t>
            </w:r>
          </w:p>
        </w:tc>
        <w:tc>
          <w:tcPr>
            <w:tcW w:w="2126" w:type="dxa"/>
            <w:shd w:val="clear" w:color="auto" w:fill="auto"/>
            <w:noWrap/>
            <w:vAlign w:val="bottom"/>
            <w:hideMark/>
          </w:tcPr>
          <w:p w14:paraId="406F827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43.919</w:t>
            </w:r>
          </w:p>
        </w:tc>
        <w:tc>
          <w:tcPr>
            <w:tcW w:w="1843" w:type="dxa"/>
            <w:shd w:val="clear" w:color="auto" w:fill="auto"/>
            <w:noWrap/>
            <w:vAlign w:val="bottom"/>
            <w:hideMark/>
          </w:tcPr>
          <w:p w14:paraId="10EDB075"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11,70%</w:t>
            </w:r>
          </w:p>
        </w:tc>
      </w:tr>
      <w:tr w:rsidR="00452820" w:rsidRPr="0013233C" w14:paraId="7E3C4E42" w14:textId="77777777" w:rsidTr="00452820">
        <w:trPr>
          <w:trHeight w:val="300"/>
        </w:trPr>
        <w:tc>
          <w:tcPr>
            <w:tcW w:w="1460" w:type="dxa"/>
            <w:shd w:val="clear" w:color="auto" w:fill="auto"/>
            <w:noWrap/>
            <w:vAlign w:val="bottom"/>
            <w:hideMark/>
          </w:tcPr>
          <w:p w14:paraId="08428511"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8</w:t>
            </w:r>
          </w:p>
        </w:tc>
        <w:tc>
          <w:tcPr>
            <w:tcW w:w="2144" w:type="dxa"/>
            <w:shd w:val="clear" w:color="auto" w:fill="auto"/>
            <w:noWrap/>
            <w:vAlign w:val="bottom"/>
            <w:hideMark/>
          </w:tcPr>
          <w:p w14:paraId="7AF78483"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Kennedy</w:t>
            </w:r>
          </w:p>
        </w:tc>
        <w:tc>
          <w:tcPr>
            <w:tcW w:w="1701" w:type="dxa"/>
            <w:shd w:val="clear" w:color="auto" w:fill="auto"/>
            <w:noWrap/>
            <w:vAlign w:val="bottom"/>
            <w:hideMark/>
          </w:tcPr>
          <w:p w14:paraId="04A37D4B"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706</w:t>
            </w:r>
          </w:p>
        </w:tc>
        <w:tc>
          <w:tcPr>
            <w:tcW w:w="2126" w:type="dxa"/>
            <w:shd w:val="clear" w:color="auto" w:fill="auto"/>
            <w:noWrap/>
            <w:vAlign w:val="bottom"/>
            <w:hideMark/>
          </w:tcPr>
          <w:p w14:paraId="0F0A68B6"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34.483</w:t>
            </w:r>
          </w:p>
        </w:tc>
        <w:tc>
          <w:tcPr>
            <w:tcW w:w="1843" w:type="dxa"/>
            <w:shd w:val="clear" w:color="auto" w:fill="auto"/>
            <w:noWrap/>
            <w:vAlign w:val="bottom"/>
            <w:hideMark/>
          </w:tcPr>
          <w:p w14:paraId="1D5FC60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9,20%</w:t>
            </w:r>
          </w:p>
        </w:tc>
      </w:tr>
      <w:tr w:rsidR="00452820" w:rsidRPr="0013233C" w14:paraId="4025D157" w14:textId="77777777" w:rsidTr="00452820">
        <w:trPr>
          <w:trHeight w:val="300"/>
        </w:trPr>
        <w:tc>
          <w:tcPr>
            <w:tcW w:w="1460" w:type="dxa"/>
            <w:shd w:val="clear" w:color="auto" w:fill="auto"/>
            <w:noWrap/>
            <w:vAlign w:val="bottom"/>
            <w:hideMark/>
          </w:tcPr>
          <w:p w14:paraId="6A932CC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7</w:t>
            </w:r>
          </w:p>
        </w:tc>
        <w:tc>
          <w:tcPr>
            <w:tcW w:w="2144" w:type="dxa"/>
            <w:shd w:val="clear" w:color="auto" w:fill="auto"/>
            <w:noWrap/>
            <w:vAlign w:val="bottom"/>
            <w:hideMark/>
          </w:tcPr>
          <w:p w14:paraId="2B293F89"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Bosa</w:t>
            </w:r>
          </w:p>
        </w:tc>
        <w:tc>
          <w:tcPr>
            <w:tcW w:w="1701" w:type="dxa"/>
            <w:shd w:val="clear" w:color="auto" w:fill="auto"/>
            <w:noWrap/>
            <w:vAlign w:val="bottom"/>
            <w:hideMark/>
          </w:tcPr>
          <w:p w14:paraId="6877268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182</w:t>
            </w:r>
          </w:p>
        </w:tc>
        <w:tc>
          <w:tcPr>
            <w:tcW w:w="2126" w:type="dxa"/>
            <w:shd w:val="clear" w:color="auto" w:fill="auto"/>
            <w:noWrap/>
            <w:vAlign w:val="bottom"/>
            <w:hideMark/>
          </w:tcPr>
          <w:p w14:paraId="3E0F3A3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30.046</w:t>
            </w:r>
          </w:p>
        </w:tc>
        <w:tc>
          <w:tcPr>
            <w:tcW w:w="1843" w:type="dxa"/>
            <w:shd w:val="clear" w:color="auto" w:fill="auto"/>
            <w:noWrap/>
            <w:vAlign w:val="bottom"/>
            <w:hideMark/>
          </w:tcPr>
          <w:p w14:paraId="6938B93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8,00%</w:t>
            </w:r>
          </w:p>
        </w:tc>
      </w:tr>
      <w:tr w:rsidR="00452820" w:rsidRPr="0013233C" w14:paraId="7B93F25B" w14:textId="77777777" w:rsidTr="00452820">
        <w:trPr>
          <w:trHeight w:val="300"/>
        </w:trPr>
        <w:tc>
          <w:tcPr>
            <w:tcW w:w="1460" w:type="dxa"/>
            <w:shd w:val="clear" w:color="auto" w:fill="auto"/>
            <w:noWrap/>
            <w:vAlign w:val="bottom"/>
            <w:hideMark/>
          </w:tcPr>
          <w:p w14:paraId="05DCBB18"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9</w:t>
            </w:r>
          </w:p>
        </w:tc>
        <w:tc>
          <w:tcPr>
            <w:tcW w:w="2144" w:type="dxa"/>
            <w:shd w:val="clear" w:color="auto" w:fill="auto"/>
            <w:noWrap/>
            <w:vAlign w:val="bottom"/>
            <w:hideMark/>
          </w:tcPr>
          <w:p w14:paraId="00023BF3"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Fontibón </w:t>
            </w:r>
          </w:p>
        </w:tc>
        <w:tc>
          <w:tcPr>
            <w:tcW w:w="1701" w:type="dxa"/>
            <w:shd w:val="clear" w:color="auto" w:fill="auto"/>
            <w:noWrap/>
            <w:vAlign w:val="bottom"/>
            <w:hideMark/>
          </w:tcPr>
          <w:p w14:paraId="70C27D8A"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422</w:t>
            </w:r>
          </w:p>
        </w:tc>
        <w:tc>
          <w:tcPr>
            <w:tcW w:w="2126" w:type="dxa"/>
            <w:shd w:val="clear" w:color="auto" w:fill="auto"/>
            <w:noWrap/>
            <w:vAlign w:val="bottom"/>
            <w:hideMark/>
          </w:tcPr>
          <w:p w14:paraId="70571409"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25.410</w:t>
            </w:r>
          </w:p>
        </w:tc>
        <w:tc>
          <w:tcPr>
            <w:tcW w:w="1843" w:type="dxa"/>
            <w:shd w:val="clear" w:color="auto" w:fill="auto"/>
            <w:noWrap/>
            <w:vAlign w:val="bottom"/>
            <w:hideMark/>
          </w:tcPr>
          <w:p w14:paraId="57A8A37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6,70%</w:t>
            </w:r>
          </w:p>
        </w:tc>
      </w:tr>
      <w:tr w:rsidR="00452820" w:rsidRPr="0013233C" w14:paraId="31663847" w14:textId="77777777" w:rsidTr="00452820">
        <w:trPr>
          <w:trHeight w:val="300"/>
        </w:trPr>
        <w:tc>
          <w:tcPr>
            <w:tcW w:w="1460" w:type="dxa"/>
            <w:shd w:val="clear" w:color="auto" w:fill="auto"/>
            <w:noWrap/>
            <w:vAlign w:val="bottom"/>
            <w:hideMark/>
          </w:tcPr>
          <w:p w14:paraId="75C57D00"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18</w:t>
            </w:r>
          </w:p>
        </w:tc>
        <w:tc>
          <w:tcPr>
            <w:tcW w:w="2144" w:type="dxa"/>
            <w:shd w:val="clear" w:color="auto" w:fill="auto"/>
            <w:noWrap/>
            <w:vAlign w:val="bottom"/>
            <w:hideMark/>
          </w:tcPr>
          <w:p w14:paraId="3459513A"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Rafael Uribe </w:t>
            </w:r>
          </w:p>
        </w:tc>
        <w:tc>
          <w:tcPr>
            <w:tcW w:w="1701" w:type="dxa"/>
            <w:shd w:val="clear" w:color="auto" w:fill="auto"/>
            <w:noWrap/>
            <w:vAlign w:val="bottom"/>
            <w:hideMark/>
          </w:tcPr>
          <w:p w14:paraId="618DEB05"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324</w:t>
            </w:r>
          </w:p>
        </w:tc>
        <w:tc>
          <w:tcPr>
            <w:tcW w:w="2126" w:type="dxa"/>
            <w:shd w:val="clear" w:color="auto" w:fill="auto"/>
            <w:noWrap/>
            <w:vAlign w:val="bottom"/>
            <w:hideMark/>
          </w:tcPr>
          <w:p w14:paraId="1C7E0D90"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25.240</w:t>
            </w:r>
          </w:p>
        </w:tc>
        <w:tc>
          <w:tcPr>
            <w:tcW w:w="1843" w:type="dxa"/>
            <w:shd w:val="clear" w:color="auto" w:fill="auto"/>
            <w:noWrap/>
            <w:vAlign w:val="bottom"/>
            <w:hideMark/>
          </w:tcPr>
          <w:p w14:paraId="2ADB129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6,70%</w:t>
            </w:r>
          </w:p>
        </w:tc>
      </w:tr>
      <w:tr w:rsidR="00452820" w:rsidRPr="0013233C" w14:paraId="68FEC190" w14:textId="77777777" w:rsidTr="00452820">
        <w:trPr>
          <w:trHeight w:val="300"/>
        </w:trPr>
        <w:tc>
          <w:tcPr>
            <w:tcW w:w="1460" w:type="dxa"/>
            <w:shd w:val="clear" w:color="auto" w:fill="auto"/>
            <w:noWrap/>
            <w:vAlign w:val="bottom"/>
            <w:hideMark/>
          </w:tcPr>
          <w:p w14:paraId="3989BF7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11</w:t>
            </w:r>
          </w:p>
        </w:tc>
        <w:tc>
          <w:tcPr>
            <w:tcW w:w="2144" w:type="dxa"/>
            <w:shd w:val="clear" w:color="auto" w:fill="auto"/>
            <w:noWrap/>
            <w:vAlign w:val="bottom"/>
            <w:hideMark/>
          </w:tcPr>
          <w:p w14:paraId="74829FCD"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Suba </w:t>
            </w:r>
          </w:p>
        </w:tc>
        <w:tc>
          <w:tcPr>
            <w:tcW w:w="1701" w:type="dxa"/>
            <w:shd w:val="clear" w:color="auto" w:fill="auto"/>
            <w:noWrap/>
            <w:vAlign w:val="bottom"/>
            <w:hideMark/>
          </w:tcPr>
          <w:p w14:paraId="5239736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148</w:t>
            </w:r>
          </w:p>
        </w:tc>
        <w:tc>
          <w:tcPr>
            <w:tcW w:w="2126" w:type="dxa"/>
            <w:shd w:val="clear" w:color="auto" w:fill="auto"/>
            <w:noWrap/>
            <w:vAlign w:val="bottom"/>
            <w:hideMark/>
          </w:tcPr>
          <w:p w14:paraId="010E3BD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22.173</w:t>
            </w:r>
          </w:p>
        </w:tc>
        <w:tc>
          <w:tcPr>
            <w:tcW w:w="1843" w:type="dxa"/>
            <w:shd w:val="clear" w:color="auto" w:fill="auto"/>
            <w:noWrap/>
            <w:vAlign w:val="bottom"/>
            <w:hideMark/>
          </w:tcPr>
          <w:p w14:paraId="1A19C09B"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5,90%</w:t>
            </w:r>
          </w:p>
        </w:tc>
      </w:tr>
      <w:tr w:rsidR="00452820" w:rsidRPr="0013233C" w14:paraId="22B92C1B" w14:textId="77777777" w:rsidTr="00452820">
        <w:trPr>
          <w:trHeight w:val="300"/>
        </w:trPr>
        <w:tc>
          <w:tcPr>
            <w:tcW w:w="1460" w:type="dxa"/>
            <w:shd w:val="clear" w:color="auto" w:fill="auto"/>
            <w:noWrap/>
            <w:vAlign w:val="bottom"/>
            <w:hideMark/>
          </w:tcPr>
          <w:p w14:paraId="1054B30E"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w:t>
            </w:r>
          </w:p>
        </w:tc>
        <w:tc>
          <w:tcPr>
            <w:tcW w:w="2144" w:type="dxa"/>
            <w:shd w:val="clear" w:color="auto" w:fill="auto"/>
            <w:noWrap/>
            <w:vAlign w:val="bottom"/>
            <w:hideMark/>
          </w:tcPr>
          <w:p w14:paraId="1C65D3F0"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San Cristóbal </w:t>
            </w:r>
          </w:p>
        </w:tc>
        <w:tc>
          <w:tcPr>
            <w:tcW w:w="1701" w:type="dxa"/>
            <w:shd w:val="clear" w:color="auto" w:fill="auto"/>
            <w:noWrap/>
            <w:vAlign w:val="bottom"/>
            <w:hideMark/>
          </w:tcPr>
          <w:p w14:paraId="09806C5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281</w:t>
            </w:r>
          </w:p>
        </w:tc>
        <w:tc>
          <w:tcPr>
            <w:tcW w:w="2126" w:type="dxa"/>
            <w:shd w:val="clear" w:color="auto" w:fill="auto"/>
            <w:noWrap/>
            <w:vAlign w:val="bottom"/>
            <w:hideMark/>
          </w:tcPr>
          <w:p w14:paraId="1EC90A6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19.550</w:t>
            </w:r>
          </w:p>
        </w:tc>
        <w:tc>
          <w:tcPr>
            <w:tcW w:w="1843" w:type="dxa"/>
            <w:shd w:val="clear" w:color="auto" w:fill="auto"/>
            <w:noWrap/>
            <w:vAlign w:val="bottom"/>
            <w:hideMark/>
          </w:tcPr>
          <w:p w14:paraId="21A06E6E"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5,20%</w:t>
            </w:r>
          </w:p>
        </w:tc>
      </w:tr>
      <w:tr w:rsidR="00452820" w:rsidRPr="0013233C" w14:paraId="7BB97DED" w14:textId="77777777" w:rsidTr="00452820">
        <w:trPr>
          <w:trHeight w:val="300"/>
        </w:trPr>
        <w:tc>
          <w:tcPr>
            <w:tcW w:w="1460" w:type="dxa"/>
            <w:shd w:val="clear" w:color="auto" w:fill="auto"/>
            <w:noWrap/>
            <w:vAlign w:val="bottom"/>
            <w:hideMark/>
          </w:tcPr>
          <w:p w14:paraId="34DDDFDA"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20</w:t>
            </w:r>
          </w:p>
        </w:tc>
        <w:tc>
          <w:tcPr>
            <w:tcW w:w="2144" w:type="dxa"/>
            <w:shd w:val="clear" w:color="auto" w:fill="auto"/>
            <w:noWrap/>
            <w:vAlign w:val="bottom"/>
            <w:hideMark/>
          </w:tcPr>
          <w:p w14:paraId="3EE17215"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Sumapaz</w:t>
            </w:r>
          </w:p>
        </w:tc>
        <w:tc>
          <w:tcPr>
            <w:tcW w:w="1701" w:type="dxa"/>
            <w:shd w:val="clear" w:color="auto" w:fill="auto"/>
            <w:noWrap/>
            <w:vAlign w:val="bottom"/>
            <w:hideMark/>
          </w:tcPr>
          <w:p w14:paraId="69E258D5"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142</w:t>
            </w:r>
          </w:p>
        </w:tc>
        <w:tc>
          <w:tcPr>
            <w:tcW w:w="2126" w:type="dxa"/>
            <w:shd w:val="clear" w:color="auto" w:fill="auto"/>
            <w:noWrap/>
            <w:vAlign w:val="bottom"/>
            <w:hideMark/>
          </w:tcPr>
          <w:p w14:paraId="2B76CEFA"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17.262</w:t>
            </w:r>
          </w:p>
        </w:tc>
        <w:tc>
          <w:tcPr>
            <w:tcW w:w="1843" w:type="dxa"/>
            <w:shd w:val="clear" w:color="auto" w:fill="auto"/>
            <w:noWrap/>
            <w:vAlign w:val="bottom"/>
            <w:hideMark/>
          </w:tcPr>
          <w:p w14:paraId="07EF205E"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4,60%</w:t>
            </w:r>
          </w:p>
        </w:tc>
      </w:tr>
      <w:tr w:rsidR="00452820" w:rsidRPr="0013233C" w14:paraId="18789A1A" w14:textId="77777777" w:rsidTr="00452820">
        <w:trPr>
          <w:trHeight w:val="300"/>
        </w:trPr>
        <w:tc>
          <w:tcPr>
            <w:tcW w:w="1460" w:type="dxa"/>
            <w:shd w:val="clear" w:color="auto" w:fill="auto"/>
            <w:noWrap/>
            <w:vAlign w:val="bottom"/>
            <w:hideMark/>
          </w:tcPr>
          <w:p w14:paraId="1620EDC1"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14</w:t>
            </w:r>
          </w:p>
        </w:tc>
        <w:tc>
          <w:tcPr>
            <w:tcW w:w="2144" w:type="dxa"/>
            <w:shd w:val="clear" w:color="auto" w:fill="auto"/>
            <w:noWrap/>
            <w:vAlign w:val="bottom"/>
            <w:hideMark/>
          </w:tcPr>
          <w:p w14:paraId="084DB3F2"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Los Mártires </w:t>
            </w:r>
          </w:p>
        </w:tc>
        <w:tc>
          <w:tcPr>
            <w:tcW w:w="1701" w:type="dxa"/>
            <w:shd w:val="clear" w:color="auto" w:fill="auto"/>
            <w:noWrap/>
            <w:vAlign w:val="bottom"/>
            <w:hideMark/>
          </w:tcPr>
          <w:p w14:paraId="27FD128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154</w:t>
            </w:r>
          </w:p>
        </w:tc>
        <w:tc>
          <w:tcPr>
            <w:tcW w:w="2126" w:type="dxa"/>
            <w:shd w:val="clear" w:color="auto" w:fill="auto"/>
            <w:noWrap/>
            <w:vAlign w:val="bottom"/>
            <w:hideMark/>
          </w:tcPr>
          <w:p w14:paraId="32BD5136"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16.720</w:t>
            </w:r>
          </w:p>
        </w:tc>
        <w:tc>
          <w:tcPr>
            <w:tcW w:w="1843" w:type="dxa"/>
            <w:shd w:val="clear" w:color="auto" w:fill="auto"/>
            <w:noWrap/>
            <w:vAlign w:val="bottom"/>
            <w:hideMark/>
          </w:tcPr>
          <w:p w14:paraId="23E161FB"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4,40%</w:t>
            </w:r>
          </w:p>
        </w:tc>
      </w:tr>
      <w:tr w:rsidR="00452820" w:rsidRPr="0013233C" w14:paraId="16F3C764" w14:textId="77777777" w:rsidTr="00452820">
        <w:trPr>
          <w:trHeight w:val="300"/>
        </w:trPr>
        <w:tc>
          <w:tcPr>
            <w:tcW w:w="1460" w:type="dxa"/>
            <w:shd w:val="clear" w:color="auto" w:fill="auto"/>
            <w:noWrap/>
            <w:vAlign w:val="bottom"/>
            <w:hideMark/>
          </w:tcPr>
          <w:p w14:paraId="65BC8899"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w:t>
            </w:r>
          </w:p>
        </w:tc>
        <w:tc>
          <w:tcPr>
            <w:tcW w:w="2144" w:type="dxa"/>
            <w:shd w:val="clear" w:color="auto" w:fill="auto"/>
            <w:noWrap/>
            <w:vAlign w:val="bottom"/>
            <w:hideMark/>
          </w:tcPr>
          <w:p w14:paraId="0CD1356B"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Santafé </w:t>
            </w:r>
          </w:p>
        </w:tc>
        <w:tc>
          <w:tcPr>
            <w:tcW w:w="1701" w:type="dxa"/>
            <w:shd w:val="clear" w:color="auto" w:fill="auto"/>
            <w:noWrap/>
            <w:vAlign w:val="bottom"/>
            <w:hideMark/>
          </w:tcPr>
          <w:p w14:paraId="50FB098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322</w:t>
            </w:r>
          </w:p>
        </w:tc>
        <w:tc>
          <w:tcPr>
            <w:tcW w:w="2126" w:type="dxa"/>
            <w:shd w:val="clear" w:color="auto" w:fill="auto"/>
            <w:noWrap/>
            <w:vAlign w:val="bottom"/>
            <w:hideMark/>
          </w:tcPr>
          <w:p w14:paraId="49AA9BE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15.110</w:t>
            </w:r>
          </w:p>
        </w:tc>
        <w:tc>
          <w:tcPr>
            <w:tcW w:w="1843" w:type="dxa"/>
            <w:shd w:val="clear" w:color="auto" w:fill="auto"/>
            <w:noWrap/>
            <w:vAlign w:val="bottom"/>
            <w:hideMark/>
          </w:tcPr>
          <w:p w14:paraId="312C98E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4,00%</w:t>
            </w:r>
          </w:p>
        </w:tc>
      </w:tr>
      <w:tr w:rsidR="00452820" w:rsidRPr="0013233C" w14:paraId="4AA1F27F" w14:textId="77777777" w:rsidTr="00452820">
        <w:trPr>
          <w:trHeight w:val="300"/>
        </w:trPr>
        <w:tc>
          <w:tcPr>
            <w:tcW w:w="1460" w:type="dxa"/>
            <w:shd w:val="clear" w:color="auto" w:fill="auto"/>
            <w:noWrap/>
            <w:vAlign w:val="bottom"/>
            <w:hideMark/>
          </w:tcPr>
          <w:p w14:paraId="21351482"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10</w:t>
            </w:r>
          </w:p>
        </w:tc>
        <w:tc>
          <w:tcPr>
            <w:tcW w:w="2144" w:type="dxa"/>
            <w:shd w:val="clear" w:color="auto" w:fill="auto"/>
            <w:noWrap/>
            <w:vAlign w:val="bottom"/>
            <w:hideMark/>
          </w:tcPr>
          <w:p w14:paraId="0C607627"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Engativá </w:t>
            </w:r>
          </w:p>
        </w:tc>
        <w:tc>
          <w:tcPr>
            <w:tcW w:w="1701" w:type="dxa"/>
            <w:shd w:val="clear" w:color="auto" w:fill="auto"/>
            <w:noWrap/>
            <w:vAlign w:val="bottom"/>
            <w:hideMark/>
          </w:tcPr>
          <w:p w14:paraId="6BA16F1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123</w:t>
            </w:r>
          </w:p>
        </w:tc>
        <w:tc>
          <w:tcPr>
            <w:tcW w:w="2126" w:type="dxa"/>
            <w:shd w:val="clear" w:color="auto" w:fill="auto"/>
            <w:noWrap/>
            <w:vAlign w:val="bottom"/>
            <w:hideMark/>
          </w:tcPr>
          <w:p w14:paraId="2B30872D"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13.899</w:t>
            </w:r>
          </w:p>
        </w:tc>
        <w:tc>
          <w:tcPr>
            <w:tcW w:w="1843" w:type="dxa"/>
            <w:shd w:val="clear" w:color="auto" w:fill="auto"/>
            <w:noWrap/>
            <w:vAlign w:val="bottom"/>
            <w:hideMark/>
          </w:tcPr>
          <w:p w14:paraId="7FBE828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3,70%</w:t>
            </w:r>
          </w:p>
        </w:tc>
      </w:tr>
      <w:tr w:rsidR="00452820" w:rsidRPr="0013233C" w14:paraId="2B0963C2" w14:textId="77777777" w:rsidTr="00452820">
        <w:trPr>
          <w:trHeight w:val="300"/>
        </w:trPr>
        <w:tc>
          <w:tcPr>
            <w:tcW w:w="1460" w:type="dxa"/>
            <w:shd w:val="clear" w:color="auto" w:fill="auto"/>
            <w:noWrap/>
            <w:vAlign w:val="bottom"/>
            <w:hideMark/>
          </w:tcPr>
          <w:p w14:paraId="41E0C562"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w:t>
            </w:r>
          </w:p>
        </w:tc>
        <w:tc>
          <w:tcPr>
            <w:tcW w:w="2144" w:type="dxa"/>
            <w:shd w:val="clear" w:color="auto" w:fill="auto"/>
            <w:noWrap/>
            <w:vAlign w:val="bottom"/>
            <w:hideMark/>
          </w:tcPr>
          <w:p w14:paraId="670112DF"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Tunjuelito </w:t>
            </w:r>
          </w:p>
        </w:tc>
        <w:tc>
          <w:tcPr>
            <w:tcW w:w="1701" w:type="dxa"/>
            <w:shd w:val="clear" w:color="auto" w:fill="auto"/>
            <w:noWrap/>
            <w:vAlign w:val="bottom"/>
            <w:hideMark/>
          </w:tcPr>
          <w:p w14:paraId="2F3DDFC9"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154</w:t>
            </w:r>
          </w:p>
        </w:tc>
        <w:tc>
          <w:tcPr>
            <w:tcW w:w="2126" w:type="dxa"/>
            <w:shd w:val="clear" w:color="auto" w:fill="auto"/>
            <w:noWrap/>
            <w:vAlign w:val="bottom"/>
            <w:hideMark/>
          </w:tcPr>
          <w:p w14:paraId="73BEF5A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13.540</w:t>
            </w:r>
          </w:p>
        </w:tc>
        <w:tc>
          <w:tcPr>
            <w:tcW w:w="1843" w:type="dxa"/>
            <w:shd w:val="clear" w:color="auto" w:fill="auto"/>
            <w:noWrap/>
            <w:vAlign w:val="bottom"/>
            <w:hideMark/>
          </w:tcPr>
          <w:p w14:paraId="7FE2635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3,60%</w:t>
            </w:r>
          </w:p>
        </w:tc>
      </w:tr>
      <w:tr w:rsidR="00452820" w:rsidRPr="0013233C" w14:paraId="6E814BB2" w14:textId="77777777" w:rsidTr="00452820">
        <w:trPr>
          <w:trHeight w:val="300"/>
        </w:trPr>
        <w:tc>
          <w:tcPr>
            <w:tcW w:w="1460" w:type="dxa"/>
            <w:shd w:val="clear" w:color="auto" w:fill="auto"/>
            <w:noWrap/>
            <w:vAlign w:val="bottom"/>
            <w:hideMark/>
          </w:tcPr>
          <w:p w14:paraId="2244E60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16</w:t>
            </w:r>
          </w:p>
        </w:tc>
        <w:tc>
          <w:tcPr>
            <w:tcW w:w="2144" w:type="dxa"/>
            <w:shd w:val="clear" w:color="auto" w:fill="auto"/>
            <w:noWrap/>
            <w:vAlign w:val="bottom"/>
            <w:hideMark/>
          </w:tcPr>
          <w:p w14:paraId="4838E771"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Punta Aranda </w:t>
            </w:r>
          </w:p>
        </w:tc>
        <w:tc>
          <w:tcPr>
            <w:tcW w:w="1701" w:type="dxa"/>
            <w:shd w:val="clear" w:color="auto" w:fill="auto"/>
            <w:noWrap/>
            <w:vAlign w:val="bottom"/>
            <w:hideMark/>
          </w:tcPr>
          <w:p w14:paraId="4A13B889"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124</w:t>
            </w:r>
          </w:p>
        </w:tc>
        <w:tc>
          <w:tcPr>
            <w:tcW w:w="2126" w:type="dxa"/>
            <w:shd w:val="clear" w:color="auto" w:fill="auto"/>
            <w:noWrap/>
            <w:vAlign w:val="bottom"/>
            <w:hideMark/>
          </w:tcPr>
          <w:p w14:paraId="719B3B7B"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12.472</w:t>
            </w:r>
          </w:p>
        </w:tc>
        <w:tc>
          <w:tcPr>
            <w:tcW w:w="1843" w:type="dxa"/>
            <w:shd w:val="clear" w:color="auto" w:fill="auto"/>
            <w:noWrap/>
            <w:vAlign w:val="bottom"/>
            <w:hideMark/>
          </w:tcPr>
          <w:p w14:paraId="6B45C41C"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3,30%</w:t>
            </w:r>
          </w:p>
        </w:tc>
      </w:tr>
      <w:tr w:rsidR="00452820" w:rsidRPr="0013233C" w14:paraId="72FC3B1C" w14:textId="77777777" w:rsidTr="00452820">
        <w:trPr>
          <w:trHeight w:val="300"/>
        </w:trPr>
        <w:tc>
          <w:tcPr>
            <w:tcW w:w="1460" w:type="dxa"/>
            <w:shd w:val="clear" w:color="auto" w:fill="auto"/>
            <w:noWrap/>
            <w:vAlign w:val="bottom"/>
            <w:hideMark/>
          </w:tcPr>
          <w:p w14:paraId="7141F0A9"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w:t>
            </w:r>
          </w:p>
        </w:tc>
        <w:tc>
          <w:tcPr>
            <w:tcW w:w="2144" w:type="dxa"/>
            <w:shd w:val="clear" w:color="auto" w:fill="auto"/>
            <w:noWrap/>
            <w:vAlign w:val="bottom"/>
            <w:hideMark/>
          </w:tcPr>
          <w:p w14:paraId="09BA6D1F"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Chapinero </w:t>
            </w:r>
          </w:p>
        </w:tc>
        <w:tc>
          <w:tcPr>
            <w:tcW w:w="1701" w:type="dxa"/>
            <w:shd w:val="clear" w:color="auto" w:fill="auto"/>
            <w:noWrap/>
            <w:vAlign w:val="bottom"/>
            <w:hideMark/>
          </w:tcPr>
          <w:p w14:paraId="4FF8FD20"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68</w:t>
            </w:r>
          </w:p>
        </w:tc>
        <w:tc>
          <w:tcPr>
            <w:tcW w:w="2126" w:type="dxa"/>
            <w:shd w:val="clear" w:color="auto" w:fill="auto"/>
            <w:noWrap/>
            <w:vAlign w:val="bottom"/>
            <w:hideMark/>
          </w:tcPr>
          <w:p w14:paraId="1E139DAD"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11.840</w:t>
            </w:r>
          </w:p>
        </w:tc>
        <w:tc>
          <w:tcPr>
            <w:tcW w:w="1843" w:type="dxa"/>
            <w:shd w:val="clear" w:color="auto" w:fill="auto"/>
            <w:noWrap/>
            <w:vAlign w:val="bottom"/>
            <w:hideMark/>
          </w:tcPr>
          <w:p w14:paraId="7194C2A5"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3,10%</w:t>
            </w:r>
          </w:p>
        </w:tc>
      </w:tr>
      <w:tr w:rsidR="00452820" w:rsidRPr="0013233C" w14:paraId="22EF11B5" w14:textId="77777777" w:rsidTr="00452820">
        <w:trPr>
          <w:trHeight w:val="300"/>
        </w:trPr>
        <w:tc>
          <w:tcPr>
            <w:tcW w:w="1460" w:type="dxa"/>
            <w:shd w:val="clear" w:color="auto" w:fill="auto"/>
            <w:noWrap/>
            <w:vAlign w:val="bottom"/>
            <w:hideMark/>
          </w:tcPr>
          <w:p w14:paraId="51749516"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13</w:t>
            </w:r>
          </w:p>
        </w:tc>
        <w:tc>
          <w:tcPr>
            <w:tcW w:w="2144" w:type="dxa"/>
            <w:shd w:val="clear" w:color="auto" w:fill="auto"/>
            <w:noWrap/>
            <w:vAlign w:val="bottom"/>
            <w:hideMark/>
          </w:tcPr>
          <w:p w14:paraId="008846D6"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Teusaquillo </w:t>
            </w:r>
          </w:p>
        </w:tc>
        <w:tc>
          <w:tcPr>
            <w:tcW w:w="1701" w:type="dxa"/>
            <w:shd w:val="clear" w:color="auto" w:fill="auto"/>
            <w:noWrap/>
            <w:vAlign w:val="bottom"/>
            <w:hideMark/>
          </w:tcPr>
          <w:p w14:paraId="07122B0E"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145</w:t>
            </w:r>
          </w:p>
        </w:tc>
        <w:tc>
          <w:tcPr>
            <w:tcW w:w="2126" w:type="dxa"/>
            <w:shd w:val="clear" w:color="auto" w:fill="auto"/>
            <w:noWrap/>
            <w:vAlign w:val="bottom"/>
            <w:hideMark/>
          </w:tcPr>
          <w:p w14:paraId="5F0A6B1D"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10.666</w:t>
            </w:r>
          </w:p>
        </w:tc>
        <w:tc>
          <w:tcPr>
            <w:tcW w:w="1843" w:type="dxa"/>
            <w:shd w:val="clear" w:color="auto" w:fill="auto"/>
            <w:noWrap/>
            <w:vAlign w:val="bottom"/>
            <w:hideMark/>
          </w:tcPr>
          <w:p w14:paraId="2DBC114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2,80%</w:t>
            </w:r>
          </w:p>
        </w:tc>
      </w:tr>
      <w:tr w:rsidR="00452820" w:rsidRPr="0013233C" w14:paraId="33DEC0B6" w14:textId="77777777" w:rsidTr="00452820">
        <w:trPr>
          <w:trHeight w:val="300"/>
        </w:trPr>
        <w:tc>
          <w:tcPr>
            <w:tcW w:w="1460" w:type="dxa"/>
            <w:shd w:val="clear" w:color="auto" w:fill="auto"/>
            <w:noWrap/>
            <w:vAlign w:val="bottom"/>
            <w:hideMark/>
          </w:tcPr>
          <w:p w14:paraId="4887027A"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15</w:t>
            </w:r>
          </w:p>
        </w:tc>
        <w:tc>
          <w:tcPr>
            <w:tcW w:w="2144" w:type="dxa"/>
            <w:shd w:val="clear" w:color="auto" w:fill="auto"/>
            <w:noWrap/>
            <w:vAlign w:val="bottom"/>
            <w:hideMark/>
          </w:tcPr>
          <w:p w14:paraId="7E76E539"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Antonio Nariño </w:t>
            </w:r>
          </w:p>
        </w:tc>
        <w:tc>
          <w:tcPr>
            <w:tcW w:w="1701" w:type="dxa"/>
            <w:shd w:val="clear" w:color="auto" w:fill="auto"/>
            <w:noWrap/>
            <w:vAlign w:val="bottom"/>
            <w:hideMark/>
          </w:tcPr>
          <w:p w14:paraId="3244B2EB"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78</w:t>
            </w:r>
          </w:p>
        </w:tc>
        <w:tc>
          <w:tcPr>
            <w:tcW w:w="2126" w:type="dxa"/>
            <w:shd w:val="clear" w:color="auto" w:fill="auto"/>
            <w:noWrap/>
            <w:vAlign w:val="bottom"/>
            <w:hideMark/>
          </w:tcPr>
          <w:p w14:paraId="1090BAEA"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8.132</w:t>
            </w:r>
          </w:p>
        </w:tc>
        <w:tc>
          <w:tcPr>
            <w:tcW w:w="1843" w:type="dxa"/>
            <w:shd w:val="clear" w:color="auto" w:fill="auto"/>
            <w:noWrap/>
            <w:vAlign w:val="bottom"/>
            <w:hideMark/>
          </w:tcPr>
          <w:p w14:paraId="1B5F58C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2,20%</w:t>
            </w:r>
          </w:p>
        </w:tc>
      </w:tr>
      <w:tr w:rsidR="00452820" w:rsidRPr="0013233C" w14:paraId="35587A32" w14:textId="77777777" w:rsidTr="00452820">
        <w:trPr>
          <w:trHeight w:val="300"/>
        </w:trPr>
        <w:tc>
          <w:tcPr>
            <w:tcW w:w="1460" w:type="dxa"/>
            <w:shd w:val="clear" w:color="auto" w:fill="auto"/>
            <w:noWrap/>
            <w:vAlign w:val="bottom"/>
            <w:hideMark/>
          </w:tcPr>
          <w:p w14:paraId="0393D2D9"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17</w:t>
            </w:r>
          </w:p>
        </w:tc>
        <w:tc>
          <w:tcPr>
            <w:tcW w:w="2144" w:type="dxa"/>
            <w:shd w:val="clear" w:color="auto" w:fill="auto"/>
            <w:noWrap/>
            <w:vAlign w:val="bottom"/>
            <w:hideMark/>
          </w:tcPr>
          <w:p w14:paraId="590C824E"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La Candelaria </w:t>
            </w:r>
          </w:p>
        </w:tc>
        <w:tc>
          <w:tcPr>
            <w:tcW w:w="1701" w:type="dxa"/>
            <w:shd w:val="clear" w:color="auto" w:fill="auto"/>
            <w:noWrap/>
            <w:vAlign w:val="bottom"/>
            <w:hideMark/>
          </w:tcPr>
          <w:p w14:paraId="4FEFE25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67</w:t>
            </w:r>
          </w:p>
        </w:tc>
        <w:tc>
          <w:tcPr>
            <w:tcW w:w="2126" w:type="dxa"/>
            <w:shd w:val="clear" w:color="auto" w:fill="auto"/>
            <w:noWrap/>
            <w:vAlign w:val="bottom"/>
            <w:hideMark/>
          </w:tcPr>
          <w:p w14:paraId="40CC2FE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3.601</w:t>
            </w:r>
          </w:p>
        </w:tc>
        <w:tc>
          <w:tcPr>
            <w:tcW w:w="1843" w:type="dxa"/>
            <w:shd w:val="clear" w:color="auto" w:fill="auto"/>
            <w:noWrap/>
            <w:vAlign w:val="bottom"/>
            <w:hideMark/>
          </w:tcPr>
          <w:p w14:paraId="74567F24"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1,00%</w:t>
            </w:r>
          </w:p>
        </w:tc>
      </w:tr>
      <w:tr w:rsidR="00452820" w:rsidRPr="0013233C" w14:paraId="62C3FD25" w14:textId="77777777" w:rsidTr="00452820">
        <w:trPr>
          <w:trHeight w:val="300"/>
        </w:trPr>
        <w:tc>
          <w:tcPr>
            <w:tcW w:w="1460" w:type="dxa"/>
            <w:shd w:val="clear" w:color="auto" w:fill="auto"/>
            <w:noWrap/>
            <w:vAlign w:val="bottom"/>
            <w:hideMark/>
          </w:tcPr>
          <w:p w14:paraId="1E549C38"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12</w:t>
            </w:r>
          </w:p>
        </w:tc>
        <w:tc>
          <w:tcPr>
            <w:tcW w:w="2144" w:type="dxa"/>
            <w:shd w:val="clear" w:color="auto" w:fill="auto"/>
            <w:noWrap/>
            <w:vAlign w:val="bottom"/>
            <w:hideMark/>
          </w:tcPr>
          <w:p w14:paraId="2EF9D1D5"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Barrios Unidos </w:t>
            </w:r>
          </w:p>
        </w:tc>
        <w:tc>
          <w:tcPr>
            <w:tcW w:w="1701" w:type="dxa"/>
            <w:shd w:val="clear" w:color="auto" w:fill="auto"/>
            <w:noWrap/>
            <w:vAlign w:val="bottom"/>
            <w:hideMark/>
          </w:tcPr>
          <w:p w14:paraId="40F3A8C7"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38</w:t>
            </w:r>
          </w:p>
        </w:tc>
        <w:tc>
          <w:tcPr>
            <w:tcW w:w="2126" w:type="dxa"/>
            <w:shd w:val="clear" w:color="auto" w:fill="auto"/>
            <w:noWrap/>
            <w:vAlign w:val="bottom"/>
            <w:hideMark/>
          </w:tcPr>
          <w:p w14:paraId="5E9EB04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3.271</w:t>
            </w:r>
          </w:p>
        </w:tc>
        <w:tc>
          <w:tcPr>
            <w:tcW w:w="1843" w:type="dxa"/>
            <w:shd w:val="clear" w:color="auto" w:fill="auto"/>
            <w:noWrap/>
            <w:vAlign w:val="bottom"/>
            <w:hideMark/>
          </w:tcPr>
          <w:p w14:paraId="08DEB49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0,90%</w:t>
            </w:r>
          </w:p>
        </w:tc>
      </w:tr>
      <w:tr w:rsidR="00452820" w:rsidRPr="0013233C" w14:paraId="3B26F61E" w14:textId="77777777" w:rsidTr="00452820">
        <w:trPr>
          <w:trHeight w:val="300"/>
        </w:trPr>
        <w:tc>
          <w:tcPr>
            <w:tcW w:w="1460" w:type="dxa"/>
            <w:shd w:val="clear" w:color="auto" w:fill="auto"/>
            <w:noWrap/>
            <w:vAlign w:val="bottom"/>
            <w:hideMark/>
          </w:tcPr>
          <w:p w14:paraId="13D355ED"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w:t>
            </w:r>
          </w:p>
        </w:tc>
        <w:tc>
          <w:tcPr>
            <w:tcW w:w="2144" w:type="dxa"/>
            <w:shd w:val="clear" w:color="auto" w:fill="auto"/>
            <w:noWrap/>
            <w:vAlign w:val="bottom"/>
            <w:hideMark/>
          </w:tcPr>
          <w:p w14:paraId="2D9424A3"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Usaquén</w:t>
            </w:r>
          </w:p>
        </w:tc>
        <w:tc>
          <w:tcPr>
            <w:tcW w:w="1701" w:type="dxa"/>
            <w:shd w:val="clear" w:color="auto" w:fill="auto"/>
            <w:noWrap/>
            <w:vAlign w:val="bottom"/>
            <w:hideMark/>
          </w:tcPr>
          <w:p w14:paraId="274E5C41"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139</w:t>
            </w:r>
          </w:p>
        </w:tc>
        <w:tc>
          <w:tcPr>
            <w:tcW w:w="2126" w:type="dxa"/>
            <w:shd w:val="clear" w:color="auto" w:fill="auto"/>
            <w:noWrap/>
            <w:vAlign w:val="bottom"/>
            <w:hideMark/>
          </w:tcPr>
          <w:p w14:paraId="0435F7B1"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2.523</w:t>
            </w:r>
          </w:p>
        </w:tc>
        <w:tc>
          <w:tcPr>
            <w:tcW w:w="1843" w:type="dxa"/>
            <w:shd w:val="clear" w:color="auto" w:fill="auto"/>
            <w:noWrap/>
            <w:vAlign w:val="bottom"/>
            <w:hideMark/>
          </w:tcPr>
          <w:p w14:paraId="256BFF1E"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0,70%</w:t>
            </w:r>
          </w:p>
        </w:tc>
      </w:tr>
      <w:tr w:rsidR="00452820" w:rsidRPr="0013233C" w14:paraId="7547E21E" w14:textId="77777777" w:rsidTr="00452820">
        <w:trPr>
          <w:trHeight w:val="300"/>
        </w:trPr>
        <w:tc>
          <w:tcPr>
            <w:tcW w:w="1460" w:type="dxa"/>
            <w:shd w:val="clear" w:color="auto" w:fill="auto"/>
            <w:noWrap/>
            <w:vAlign w:val="bottom"/>
            <w:hideMark/>
          </w:tcPr>
          <w:p w14:paraId="60BCBD08" w14:textId="77777777" w:rsidR="00452820" w:rsidRPr="0013233C" w:rsidRDefault="00452820" w:rsidP="00452820">
            <w:pPr>
              <w:rPr>
                <w:rFonts w:ascii="Arial" w:hAnsi="Arial" w:cs="Arial"/>
                <w:b/>
                <w:bCs/>
                <w:color w:val="000000"/>
                <w:sz w:val="22"/>
                <w:szCs w:val="22"/>
              </w:rPr>
            </w:pPr>
            <w:r w:rsidRPr="0013233C">
              <w:rPr>
                <w:rFonts w:ascii="Arial" w:hAnsi="Arial" w:cs="Arial"/>
                <w:b/>
                <w:bCs/>
                <w:color w:val="000000"/>
                <w:sz w:val="22"/>
                <w:szCs w:val="22"/>
              </w:rPr>
              <w:t>Documento</w:t>
            </w:r>
          </w:p>
        </w:tc>
        <w:tc>
          <w:tcPr>
            <w:tcW w:w="2144" w:type="dxa"/>
            <w:shd w:val="clear" w:color="000000" w:fill="D9D9D9"/>
            <w:noWrap/>
            <w:vAlign w:val="bottom"/>
            <w:hideMark/>
          </w:tcPr>
          <w:p w14:paraId="43ACB778" w14:textId="77777777" w:rsidR="00452820" w:rsidRPr="0013233C" w:rsidRDefault="00452820" w:rsidP="00452820">
            <w:pPr>
              <w:rPr>
                <w:rFonts w:ascii="Arial" w:hAnsi="Arial" w:cs="Arial"/>
                <w:color w:val="000000"/>
                <w:sz w:val="22"/>
                <w:szCs w:val="22"/>
              </w:rPr>
            </w:pPr>
            <w:r w:rsidRPr="0013233C">
              <w:rPr>
                <w:rFonts w:ascii="Arial" w:hAnsi="Arial" w:cs="Arial"/>
                <w:color w:val="000000"/>
                <w:sz w:val="22"/>
                <w:szCs w:val="22"/>
              </w:rPr>
              <w:t xml:space="preserve">Total </w:t>
            </w:r>
          </w:p>
        </w:tc>
        <w:tc>
          <w:tcPr>
            <w:tcW w:w="1701" w:type="dxa"/>
            <w:shd w:val="clear" w:color="000000" w:fill="D9D9D9"/>
            <w:noWrap/>
            <w:vAlign w:val="bottom"/>
            <w:hideMark/>
          </w:tcPr>
          <w:p w14:paraId="54074F15"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4.283</w:t>
            </w:r>
          </w:p>
        </w:tc>
        <w:tc>
          <w:tcPr>
            <w:tcW w:w="2126" w:type="dxa"/>
            <w:shd w:val="clear" w:color="000000" w:fill="D9D9D9"/>
            <w:noWrap/>
            <w:vAlign w:val="bottom"/>
            <w:hideMark/>
          </w:tcPr>
          <w:p w14:paraId="3771C653"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376.616</w:t>
            </w:r>
          </w:p>
        </w:tc>
        <w:tc>
          <w:tcPr>
            <w:tcW w:w="1843" w:type="dxa"/>
            <w:shd w:val="clear" w:color="000000" w:fill="D9D9D9"/>
            <w:noWrap/>
            <w:vAlign w:val="bottom"/>
            <w:hideMark/>
          </w:tcPr>
          <w:p w14:paraId="22D234FF" w14:textId="77777777" w:rsidR="00452820" w:rsidRPr="0013233C" w:rsidRDefault="00452820" w:rsidP="00452820">
            <w:pPr>
              <w:jc w:val="right"/>
              <w:rPr>
                <w:rFonts w:ascii="Arial" w:hAnsi="Arial" w:cs="Arial"/>
                <w:color w:val="000000"/>
                <w:sz w:val="22"/>
                <w:szCs w:val="22"/>
              </w:rPr>
            </w:pPr>
            <w:r w:rsidRPr="0013233C">
              <w:rPr>
                <w:rFonts w:ascii="Arial" w:hAnsi="Arial" w:cs="Arial"/>
                <w:color w:val="000000"/>
                <w:sz w:val="22"/>
                <w:szCs w:val="22"/>
              </w:rPr>
              <w:t>100,00%</w:t>
            </w:r>
          </w:p>
        </w:tc>
      </w:tr>
    </w:tbl>
    <w:p w14:paraId="61BA7DAD" w14:textId="77777777" w:rsidR="00452820" w:rsidRPr="0013233C" w:rsidRDefault="00452820" w:rsidP="00452820">
      <w:pPr>
        <w:jc w:val="both"/>
        <w:rPr>
          <w:rFonts w:ascii="Arial" w:hAnsi="Arial" w:cs="Arial"/>
          <w:sz w:val="22"/>
          <w:szCs w:val="22"/>
        </w:rPr>
      </w:pPr>
      <w:r w:rsidRPr="0013233C">
        <w:rPr>
          <w:rFonts w:ascii="Arial" w:hAnsi="Arial" w:cs="Arial"/>
          <w:sz w:val="22"/>
          <w:szCs w:val="22"/>
        </w:rPr>
        <w:t>Fuente: Veeduría Distrital, 2023.</w:t>
      </w:r>
    </w:p>
    <w:p w14:paraId="4A743B86" w14:textId="77777777" w:rsidR="00452820" w:rsidRPr="0013233C" w:rsidRDefault="00452820" w:rsidP="00452820">
      <w:pPr>
        <w:jc w:val="both"/>
        <w:rPr>
          <w:rFonts w:ascii="Arial" w:hAnsi="Arial" w:cs="Arial"/>
          <w:sz w:val="22"/>
          <w:szCs w:val="22"/>
        </w:rPr>
      </w:pPr>
    </w:p>
    <w:p w14:paraId="681C702C" w14:textId="77777777" w:rsidR="00452820" w:rsidRPr="0013233C" w:rsidRDefault="00452820" w:rsidP="00452820">
      <w:pPr>
        <w:jc w:val="both"/>
        <w:rPr>
          <w:rFonts w:ascii="Arial" w:hAnsi="Arial" w:cs="Arial"/>
          <w:sz w:val="22"/>
          <w:szCs w:val="22"/>
        </w:rPr>
      </w:pPr>
      <w:r w:rsidRPr="0013233C">
        <w:rPr>
          <w:rFonts w:ascii="Arial" w:hAnsi="Arial" w:cs="Arial"/>
          <w:sz w:val="22"/>
          <w:szCs w:val="22"/>
        </w:rPr>
        <w:t xml:space="preserve">De los datos anteriores se puede observar que, con corte al 30 de septiembre de 2023, la localidad de Ciudad Bolívar es la que cuenta con mayor representación (12,4%) con un total de 447 OPP con un valor de 46.763 millones de pesos hasta septiembre del 2023. Seguido de Usme (11,70%) con 219 OPP con un total de 43.919 millones de pesos y Kennedy (9,20%) con 706 OPP con un valor de 34.483 millones de pesos. </w:t>
      </w:r>
    </w:p>
    <w:p w14:paraId="260848CA" w14:textId="77777777" w:rsidR="00452820" w:rsidRPr="0013233C" w:rsidRDefault="00452820" w:rsidP="00452820">
      <w:pPr>
        <w:jc w:val="both"/>
        <w:rPr>
          <w:rFonts w:ascii="Arial" w:hAnsi="Arial" w:cs="Arial"/>
          <w:sz w:val="22"/>
          <w:szCs w:val="22"/>
        </w:rPr>
      </w:pPr>
    </w:p>
    <w:p w14:paraId="26DD2A14" w14:textId="77777777" w:rsidR="00452820" w:rsidRPr="0013233C" w:rsidRDefault="00452820" w:rsidP="00452820">
      <w:pPr>
        <w:jc w:val="both"/>
        <w:rPr>
          <w:rFonts w:ascii="Arial" w:hAnsi="Arial" w:cs="Arial"/>
          <w:sz w:val="22"/>
          <w:szCs w:val="22"/>
        </w:rPr>
      </w:pPr>
      <w:r w:rsidRPr="0013233C">
        <w:rPr>
          <w:rFonts w:ascii="Arial" w:hAnsi="Arial" w:cs="Arial"/>
          <w:sz w:val="22"/>
          <w:szCs w:val="22"/>
        </w:rPr>
        <w:t>Usaquén es la localidad con menor representación (0,70%) con un total de 139 OPP de un valor de 2.523 millones de pesos. Seguida de Barrios Unidos (0,09%) con 38 OPP de un valor de 3.271 millones de pesos y La Candelaria (1,00%) con un total de 67 OPP con un total de 3.601 millones de pesos.</w:t>
      </w:r>
    </w:p>
    <w:p w14:paraId="0DA3F9B1" w14:textId="77777777" w:rsidR="00452820" w:rsidRPr="0013233C" w:rsidRDefault="00452820" w:rsidP="00452820">
      <w:pPr>
        <w:jc w:val="both"/>
        <w:rPr>
          <w:rFonts w:ascii="Arial" w:hAnsi="Arial" w:cs="Arial"/>
          <w:sz w:val="22"/>
          <w:szCs w:val="22"/>
        </w:rPr>
      </w:pPr>
    </w:p>
    <w:p w14:paraId="66AEA628" w14:textId="77777777" w:rsidR="00452820" w:rsidRPr="0013233C" w:rsidRDefault="00452820" w:rsidP="00452820">
      <w:pPr>
        <w:jc w:val="both"/>
        <w:rPr>
          <w:rFonts w:ascii="Arial" w:hAnsi="Arial" w:cs="Arial"/>
          <w:sz w:val="22"/>
          <w:szCs w:val="22"/>
        </w:rPr>
      </w:pPr>
      <w:r w:rsidRPr="0013233C">
        <w:rPr>
          <w:rFonts w:ascii="Arial" w:hAnsi="Arial" w:cs="Arial"/>
          <w:sz w:val="22"/>
          <w:szCs w:val="22"/>
        </w:rPr>
        <w:t>En síntesis, en materia de las OPP de los FDL, se evidencia una problemática que debe ser corregida por parte de estos con el acompañamiento de las entidades distritales pertinentes, ya que la acumulación progresiva de estas obligaciones puede generar un impacto fiscal negativo en las finanzas de estos fondos, afectando la capacidad de gestión y de provisión de bienes y servicios públicos por parte de las Alcaldías Locales. De no tomarse los correctivos necesarios, la acumulación de OPP también puede terminar en la generación de mayores costos para las finanzas del Distrito, ya que se pueden generar demandas, mayores costos y el correspondiente incremento del valor de estas obligaciones debido a cambios generados por factores como la inflación.</w:t>
      </w:r>
    </w:p>
    <w:p w14:paraId="552948D6" w14:textId="77777777" w:rsidR="00452820" w:rsidRPr="0013233C" w:rsidRDefault="00452820" w:rsidP="00452820">
      <w:pPr>
        <w:jc w:val="both"/>
        <w:rPr>
          <w:rFonts w:ascii="Arial" w:hAnsi="Arial" w:cs="Arial"/>
          <w:sz w:val="22"/>
          <w:szCs w:val="22"/>
        </w:rPr>
      </w:pPr>
    </w:p>
    <w:p w14:paraId="2BDC20B2" w14:textId="77777777" w:rsidR="00452820" w:rsidRPr="0013233C" w:rsidRDefault="00452820" w:rsidP="00452820">
      <w:pPr>
        <w:jc w:val="both"/>
        <w:rPr>
          <w:rFonts w:ascii="Arial" w:hAnsi="Arial" w:cs="Arial"/>
          <w:sz w:val="22"/>
          <w:szCs w:val="22"/>
        </w:rPr>
      </w:pPr>
      <w:r w:rsidRPr="0013233C">
        <w:rPr>
          <w:rFonts w:ascii="Arial" w:hAnsi="Arial" w:cs="Arial"/>
          <w:sz w:val="22"/>
          <w:szCs w:val="22"/>
        </w:rPr>
        <w:t xml:space="preserve">En este mismo sentido, contar con finanzas en los FDL donde la acumulación de OPP no se constituya en un limitante a la capacidad de gestión y prestación de bienes y servicios públicos, por parte de estos fondos, es un factor que incide, directamente, en la capacidad de ejecución de herramientas de orden programático centrales para la ciudad como los Planes Distritales de Desarrollo y lo Planes de Ordenamiento Territorial. </w:t>
      </w:r>
    </w:p>
    <w:p w14:paraId="36DF162B" w14:textId="77777777" w:rsidR="00452820" w:rsidRPr="0013233C" w:rsidRDefault="00452820" w:rsidP="00452820">
      <w:pPr>
        <w:jc w:val="both"/>
        <w:rPr>
          <w:rFonts w:ascii="Arial" w:hAnsi="Arial" w:cs="Arial"/>
          <w:sz w:val="22"/>
          <w:szCs w:val="22"/>
        </w:rPr>
      </w:pPr>
    </w:p>
    <w:p w14:paraId="276250BB" w14:textId="43101E83" w:rsidR="00452820" w:rsidRPr="0013233C" w:rsidRDefault="00452820" w:rsidP="00452820">
      <w:pPr>
        <w:jc w:val="both"/>
        <w:rPr>
          <w:rFonts w:ascii="Arial" w:hAnsi="Arial" w:cs="Arial"/>
          <w:sz w:val="22"/>
          <w:szCs w:val="22"/>
        </w:rPr>
      </w:pPr>
      <w:r w:rsidRPr="0013233C">
        <w:rPr>
          <w:rFonts w:ascii="Arial" w:hAnsi="Arial" w:cs="Arial"/>
          <w:sz w:val="22"/>
          <w:szCs w:val="22"/>
        </w:rPr>
        <w:t>Ello, ya que a mayor acu</w:t>
      </w:r>
      <w:r w:rsidR="006B5508" w:rsidRPr="0013233C">
        <w:rPr>
          <w:rFonts w:ascii="Arial" w:hAnsi="Arial" w:cs="Arial"/>
          <w:sz w:val="22"/>
          <w:szCs w:val="22"/>
        </w:rPr>
        <w:t>mulación de OPP en los FDL, mayo</w:t>
      </w:r>
      <w:r w:rsidRPr="0013233C">
        <w:rPr>
          <w:rFonts w:ascii="Arial" w:hAnsi="Arial" w:cs="Arial"/>
          <w:sz w:val="22"/>
          <w:szCs w:val="22"/>
        </w:rPr>
        <w:t>res recursos necesarios para sanear esas obligaciones en el futuro y, por lo tanto, serían menores los recursos del Distrito para poder implementar los programas y proyectos que se incluyan dentro de los Planes Distritales de Desarrollo. Ahora bien, algo similar sucede con la posibilidad de ejecución del POT, pues las intervenciones sobre el suelo que requiere Bogotá para la implementación de esta herramienta de planeación territorial requieren de los recursos necesarios para que se den de manera adecuada, y la carga fiscal de las OPP termina por constituirse en un peso extra que limitaría la correcta ejecución de las acciones incluidas en el POT.</w:t>
      </w:r>
    </w:p>
    <w:p w14:paraId="01BFD900" w14:textId="77777777" w:rsidR="00452820" w:rsidRPr="0013233C" w:rsidRDefault="00452820" w:rsidP="00452820">
      <w:pPr>
        <w:jc w:val="both"/>
        <w:rPr>
          <w:rFonts w:ascii="Arial" w:hAnsi="Arial" w:cs="Arial"/>
          <w:sz w:val="22"/>
          <w:szCs w:val="22"/>
        </w:rPr>
      </w:pPr>
    </w:p>
    <w:p w14:paraId="37F477EB" w14:textId="77777777" w:rsidR="00452820" w:rsidRPr="0013233C" w:rsidRDefault="00452820" w:rsidP="00452820">
      <w:pPr>
        <w:jc w:val="both"/>
        <w:rPr>
          <w:rFonts w:ascii="Arial" w:hAnsi="Arial" w:cs="Arial"/>
          <w:sz w:val="22"/>
          <w:szCs w:val="22"/>
        </w:rPr>
      </w:pPr>
      <w:r w:rsidRPr="0013233C">
        <w:rPr>
          <w:rFonts w:ascii="Arial" w:hAnsi="Arial" w:cs="Arial"/>
          <w:sz w:val="22"/>
          <w:szCs w:val="22"/>
        </w:rPr>
        <w:t>De manera más específica, el saneamiento de las OPP acumuladas por los FDL, mediante mecanismos como los que se proponen en este proyecto de acuerdo, guarda armonía con lo propuesto en el Plan Distrital de Desarrollo “Un nuevo contrato social y ambiental para el siglo XXI 2020-2024”, en su Propósito 5 “Construir Bogotá-región con gobierno abierto, transparente y ciudadanía consciente” y frente al logro de ciudad 30 (Incrementar la efectividad de la gestión pública distrital y local), contenido dentro de este Propósito. En tanto unas finanzas locales con menores cargos generados por las OPP, estarán en mejores condiciones de ejecución.</w:t>
      </w:r>
    </w:p>
    <w:p w14:paraId="38A93E94" w14:textId="77777777" w:rsidR="00452820" w:rsidRPr="0013233C" w:rsidRDefault="00452820" w:rsidP="00452820">
      <w:pPr>
        <w:jc w:val="both"/>
        <w:rPr>
          <w:rFonts w:ascii="Arial" w:hAnsi="Arial" w:cs="Arial"/>
          <w:sz w:val="22"/>
          <w:szCs w:val="22"/>
        </w:rPr>
      </w:pPr>
    </w:p>
    <w:p w14:paraId="4FD273D4" w14:textId="30FA97DA" w:rsidR="00452820" w:rsidRDefault="00452820" w:rsidP="00452820">
      <w:pPr>
        <w:jc w:val="both"/>
        <w:rPr>
          <w:rFonts w:ascii="Arial" w:hAnsi="Arial" w:cs="Arial"/>
          <w:sz w:val="22"/>
          <w:szCs w:val="22"/>
        </w:rPr>
      </w:pPr>
      <w:r w:rsidRPr="0013233C">
        <w:rPr>
          <w:rFonts w:ascii="Arial" w:hAnsi="Arial" w:cs="Arial"/>
          <w:sz w:val="22"/>
          <w:szCs w:val="22"/>
        </w:rPr>
        <w:t xml:space="preserve">Por otro lado, en relación con los ODS formulados desde Naciones Unidas y, de manera específica, frente al objetivo número 11 </w:t>
      </w:r>
      <w:r w:rsidRPr="0013233C">
        <w:rPr>
          <w:rFonts w:ascii="Arial" w:hAnsi="Arial" w:cs="Arial"/>
          <w:i/>
          <w:iCs/>
          <w:sz w:val="22"/>
          <w:szCs w:val="22"/>
        </w:rPr>
        <w:t>Paz, Ciudades y Comunidades Sostenibles,</w:t>
      </w:r>
      <w:r w:rsidRPr="0013233C">
        <w:rPr>
          <w:rFonts w:ascii="Arial" w:hAnsi="Arial" w:cs="Arial"/>
          <w:sz w:val="22"/>
          <w:szCs w:val="22"/>
        </w:rPr>
        <w:t xml:space="preserve"> este proyecto de acuerdo, al propender por la consolidación de la estructura fiscal de los FDL y su capacidad de ejecución, por medio de la reducción de las cargas relativas a la acumulación de OPP, apunta a que Bogotá, desde sus principales entidades de orden local, cuente con mayor capacidad de reducir los niveles de desigualdad en cada una de las 20 localidades del Distrito en condiciones de sostenibilidad fiscal, la cual es fundamental para el avance de Bogotá como una ciudad sostenible e</w:t>
      </w:r>
      <w:r w:rsidR="006B5508" w:rsidRPr="0013233C">
        <w:rPr>
          <w:rFonts w:ascii="Arial" w:hAnsi="Arial" w:cs="Arial"/>
          <w:sz w:val="22"/>
          <w:szCs w:val="22"/>
        </w:rPr>
        <w:t>n</w:t>
      </w:r>
      <w:r w:rsidRPr="0013233C">
        <w:rPr>
          <w:rFonts w:ascii="Arial" w:hAnsi="Arial" w:cs="Arial"/>
          <w:sz w:val="22"/>
          <w:szCs w:val="22"/>
        </w:rPr>
        <w:t xml:space="preserve"> un sentido integral. En este sentido, a mayor sostenibilidad de los presupuestos de las alcaldías locales, mayor capacidad de inversión de los FDL en las localidades, lo cual redunda en un mejoramiento de la provisión de bienes y servicios en las comunidades. Esto, a su vez, puede generar un aumento en los niveles de calidad de vida de las personas y, por tanto, una reducción de actividades económicas ilegales que puedan ir en contra de la sostenibilidad social, económica y ambiental de la ciudad. </w:t>
      </w:r>
    </w:p>
    <w:p w14:paraId="18A06069" w14:textId="5B9F6A4B" w:rsidR="0036439F" w:rsidRDefault="0036439F" w:rsidP="00452820">
      <w:pPr>
        <w:jc w:val="both"/>
        <w:rPr>
          <w:rFonts w:ascii="Arial" w:hAnsi="Arial" w:cs="Arial"/>
          <w:sz w:val="22"/>
          <w:szCs w:val="22"/>
        </w:rPr>
      </w:pPr>
    </w:p>
    <w:p w14:paraId="0DBDAA66" w14:textId="5E792420" w:rsidR="0036439F" w:rsidRDefault="0036439F" w:rsidP="00452820">
      <w:pPr>
        <w:jc w:val="both"/>
        <w:rPr>
          <w:rFonts w:ascii="Arial" w:eastAsiaTheme="minorEastAsia" w:hAnsi="Arial" w:cs="Arial"/>
          <w:color w:val="141413"/>
          <w:sz w:val="22"/>
          <w:szCs w:val="22"/>
          <w:lang w:eastAsia="en-US"/>
        </w:rPr>
      </w:pPr>
      <w:r>
        <w:rPr>
          <w:rFonts w:ascii="Arial" w:hAnsi="Arial" w:cs="Arial"/>
          <w:sz w:val="22"/>
          <w:szCs w:val="22"/>
        </w:rPr>
        <w:t xml:space="preserve">Finalmente, es importante destacar que si se logra con este Proyecto de Acuerdo que </w:t>
      </w:r>
      <w:r w:rsidRPr="0013233C">
        <w:rPr>
          <w:rFonts w:ascii="Arial" w:eastAsia="Arial" w:hAnsi="Arial" w:cs="Arial"/>
          <w:sz w:val="22"/>
          <w:szCs w:val="22"/>
        </w:rPr>
        <w:t>los Fondos de Desarrollo Local y el Fondo de Desarrollo Rural de Sumapaz conserven unas finanzas organizadas y</w:t>
      </w:r>
      <w:r>
        <w:rPr>
          <w:rFonts w:ascii="Arial" w:eastAsia="Arial" w:hAnsi="Arial" w:cs="Arial"/>
          <w:sz w:val="22"/>
          <w:szCs w:val="22"/>
        </w:rPr>
        <w:t xml:space="preserve"> tengan</w:t>
      </w:r>
      <w:r w:rsidRPr="0013233C">
        <w:rPr>
          <w:rFonts w:ascii="Arial" w:eastAsia="Arial" w:hAnsi="Arial" w:cs="Arial"/>
          <w:sz w:val="22"/>
          <w:szCs w:val="22"/>
        </w:rPr>
        <w:t xml:space="preserve"> una cultura de pago oportuno</w:t>
      </w:r>
      <w:r>
        <w:rPr>
          <w:rFonts w:ascii="Arial" w:eastAsia="Arial" w:hAnsi="Arial" w:cs="Arial"/>
          <w:sz w:val="22"/>
          <w:szCs w:val="22"/>
        </w:rPr>
        <w:t xml:space="preserve">, se aportará a lograr de manera eficiente desarrollar las políticas </w:t>
      </w:r>
      <w:r>
        <w:rPr>
          <w:rFonts w:ascii="Arial" w:eastAsiaTheme="minorEastAsia" w:hAnsi="Arial" w:cs="Arial"/>
          <w:color w:val="141413"/>
          <w:sz w:val="22"/>
          <w:szCs w:val="22"/>
          <w:lang w:eastAsia="en-US"/>
        </w:rPr>
        <w:t xml:space="preserve">incluidas en el Plan Distrital de Desarrollo </w:t>
      </w:r>
      <w:r w:rsidRPr="00C60E43">
        <w:rPr>
          <w:rFonts w:ascii="Arial" w:eastAsiaTheme="minorEastAsia" w:hAnsi="Arial" w:cs="Arial"/>
          <w:color w:val="141413"/>
          <w:sz w:val="22"/>
          <w:szCs w:val="22"/>
          <w:lang w:eastAsia="en-US"/>
        </w:rPr>
        <w:t>2024-2027 “Bogotá Camina Segura</w:t>
      </w:r>
      <w:r>
        <w:rPr>
          <w:rFonts w:ascii="Arial" w:eastAsiaTheme="minorEastAsia" w:hAnsi="Arial" w:cs="Arial"/>
          <w:color w:val="141413"/>
          <w:sz w:val="22"/>
          <w:szCs w:val="22"/>
          <w:lang w:eastAsia="en-US"/>
        </w:rPr>
        <w:t xml:space="preserve">”, así: </w:t>
      </w:r>
    </w:p>
    <w:p w14:paraId="686BCF31" w14:textId="0AF87667" w:rsidR="0036439F" w:rsidRDefault="0036439F" w:rsidP="00452820">
      <w:pPr>
        <w:jc w:val="both"/>
        <w:rPr>
          <w:rFonts w:ascii="Arial" w:eastAsiaTheme="minorEastAsia" w:hAnsi="Arial" w:cs="Arial"/>
          <w:color w:val="141413"/>
          <w:sz w:val="22"/>
          <w:szCs w:val="22"/>
          <w:lang w:eastAsia="en-US"/>
        </w:rPr>
      </w:pPr>
    </w:p>
    <w:p w14:paraId="78E2FA99" w14:textId="02E0B4BC" w:rsidR="0036439F" w:rsidRDefault="0036439F" w:rsidP="0036439F">
      <w:pPr>
        <w:ind w:left="360"/>
        <w:jc w:val="both"/>
        <w:rPr>
          <w:rFonts w:ascii="Arial" w:hAnsi="Arial" w:cs="Arial"/>
          <w:i/>
          <w:sz w:val="22"/>
          <w:szCs w:val="22"/>
          <w:lang w:val="es-ES"/>
        </w:rPr>
      </w:pPr>
      <w:r w:rsidRPr="0036439F">
        <w:rPr>
          <w:rFonts w:ascii="Arial" w:hAnsi="Arial" w:cs="Arial"/>
          <w:b/>
          <w:bCs/>
          <w:i/>
          <w:sz w:val="22"/>
          <w:szCs w:val="22"/>
          <w:lang w:val="es-ES"/>
        </w:rPr>
        <w:t>Artículo</w:t>
      </w:r>
      <w:r w:rsidRPr="0036439F">
        <w:rPr>
          <w:rFonts w:ascii="Arial" w:hAnsi="Arial" w:cs="Arial"/>
          <w:i/>
          <w:sz w:val="22"/>
          <w:szCs w:val="22"/>
        </w:rPr>
        <w:t> </w:t>
      </w:r>
      <w:r w:rsidRPr="0036439F">
        <w:rPr>
          <w:rFonts w:ascii="Arial" w:hAnsi="Arial" w:cs="Arial"/>
          <w:b/>
          <w:bCs/>
          <w:i/>
          <w:sz w:val="22"/>
          <w:szCs w:val="22"/>
          <w:lang w:val="es-ES"/>
        </w:rPr>
        <w:t>61. Protección animal en los fondos de desarrollo local. </w:t>
      </w:r>
      <w:r w:rsidRPr="0036439F">
        <w:rPr>
          <w:rFonts w:ascii="Arial" w:hAnsi="Arial" w:cs="Arial"/>
          <w:i/>
          <w:sz w:val="22"/>
          <w:szCs w:val="22"/>
          <w:lang w:val="es-ES"/>
        </w:rPr>
        <w:t>Los Fondos de Desarrollo Local realizarán inversiones complementarias para la protección animal. La inversión estará dirigida a los animales vulnerables y se materializará en los servicios de brigadas médicas, urgencias veterinarias, esterilización canina y felina y apoyo a las autoridades de policía en casos de maltrato animal. El Instituto Distrital de Protección y Bienestar Animal trabajará articuladamente con las localidades para coordinar la intervención territorial, identificar puntos críticos y brindar lineamientos técnicos que propendan por la calidad de los servicios ofrecidos.</w:t>
      </w:r>
    </w:p>
    <w:p w14:paraId="0182407B" w14:textId="7CF05A4A" w:rsidR="0036439F" w:rsidRDefault="0036439F" w:rsidP="0036439F">
      <w:pPr>
        <w:ind w:left="360"/>
        <w:jc w:val="both"/>
        <w:rPr>
          <w:rFonts w:ascii="Arial" w:hAnsi="Arial" w:cs="Arial"/>
          <w:i/>
          <w:sz w:val="22"/>
          <w:szCs w:val="22"/>
        </w:rPr>
      </w:pPr>
    </w:p>
    <w:p w14:paraId="300A6051" w14:textId="77777777" w:rsidR="0036439F" w:rsidRPr="0036439F" w:rsidRDefault="0036439F" w:rsidP="0036439F">
      <w:pPr>
        <w:ind w:left="360"/>
        <w:jc w:val="both"/>
        <w:rPr>
          <w:rFonts w:ascii="Arial" w:hAnsi="Arial" w:cs="Arial"/>
          <w:i/>
          <w:sz w:val="22"/>
          <w:szCs w:val="22"/>
        </w:rPr>
      </w:pPr>
      <w:r w:rsidRPr="0036439F">
        <w:rPr>
          <w:rFonts w:ascii="Arial" w:hAnsi="Arial" w:cs="Arial"/>
          <w:b/>
          <w:bCs/>
          <w:i/>
          <w:sz w:val="22"/>
          <w:szCs w:val="22"/>
          <w:lang w:val="es-ES"/>
        </w:rPr>
        <w:t>Artículo</w:t>
      </w:r>
      <w:r w:rsidRPr="0036439F">
        <w:rPr>
          <w:rFonts w:ascii="Arial" w:hAnsi="Arial" w:cs="Arial"/>
          <w:i/>
          <w:sz w:val="22"/>
          <w:szCs w:val="22"/>
        </w:rPr>
        <w:t> </w:t>
      </w:r>
      <w:r w:rsidRPr="0036439F">
        <w:rPr>
          <w:rFonts w:ascii="Arial" w:hAnsi="Arial" w:cs="Arial"/>
          <w:b/>
          <w:bCs/>
          <w:i/>
          <w:sz w:val="22"/>
          <w:szCs w:val="22"/>
          <w:lang w:val="es-ES"/>
        </w:rPr>
        <w:t>92. </w:t>
      </w:r>
      <w:r w:rsidRPr="0036439F">
        <w:rPr>
          <w:rFonts w:ascii="Arial" w:hAnsi="Arial" w:cs="Arial"/>
          <w:b/>
          <w:bCs/>
          <w:i/>
          <w:iCs/>
          <w:sz w:val="22"/>
          <w:szCs w:val="22"/>
          <w:lang w:val="es-ES"/>
        </w:rPr>
        <w:t>Inversión en Desarrollo Económico a través de Fondos de Desarrollo Local en Bogotá</w:t>
      </w:r>
      <w:r w:rsidRPr="0036439F">
        <w:rPr>
          <w:rFonts w:ascii="Arial" w:hAnsi="Arial" w:cs="Arial"/>
          <w:b/>
          <w:bCs/>
          <w:i/>
          <w:sz w:val="22"/>
          <w:szCs w:val="22"/>
          <w:lang w:val="es-ES"/>
        </w:rPr>
        <w:t>. </w:t>
      </w:r>
      <w:r w:rsidRPr="0036439F">
        <w:rPr>
          <w:rFonts w:ascii="Arial" w:hAnsi="Arial" w:cs="Arial"/>
          <w:i/>
          <w:sz w:val="22"/>
          <w:szCs w:val="22"/>
          <w:lang w:val="es-ES"/>
        </w:rPr>
        <w:t>Los Fondos de Desarrollo Local en Bogotá, en coordinación con la Secretaría Distrital de Desarrollo Económico podrán destinar recursos orientados a iniciativas que promuevan el desarrollo económico del tejido productivo local de la ciudad. Lo anterior, basados en la viabilidad y sostenibilidad de los proyectos propuestos, y fomentando la participación ciudadana en la identificación de necesidades económicas locales.</w:t>
      </w:r>
    </w:p>
    <w:p w14:paraId="2BC4D525" w14:textId="27AD632C" w:rsidR="0036439F" w:rsidRDefault="0036439F" w:rsidP="0036439F">
      <w:pPr>
        <w:ind w:left="360"/>
        <w:jc w:val="both"/>
        <w:rPr>
          <w:rFonts w:ascii="Arial" w:hAnsi="Arial" w:cs="Arial"/>
          <w:i/>
          <w:sz w:val="22"/>
          <w:szCs w:val="22"/>
        </w:rPr>
      </w:pPr>
    </w:p>
    <w:p w14:paraId="2BCCE259" w14:textId="77777777" w:rsidR="0036439F" w:rsidRPr="0036439F" w:rsidRDefault="0036439F" w:rsidP="0036439F">
      <w:pPr>
        <w:ind w:left="360"/>
        <w:jc w:val="both"/>
        <w:rPr>
          <w:rFonts w:ascii="Arial" w:hAnsi="Arial" w:cs="Arial"/>
          <w:i/>
          <w:sz w:val="22"/>
          <w:szCs w:val="22"/>
        </w:rPr>
      </w:pPr>
      <w:r w:rsidRPr="0036439F">
        <w:rPr>
          <w:rFonts w:ascii="Arial" w:hAnsi="Arial" w:cs="Arial"/>
          <w:b/>
          <w:bCs/>
          <w:i/>
          <w:sz w:val="22"/>
          <w:szCs w:val="22"/>
          <w:lang w:val="es-ES"/>
        </w:rPr>
        <w:t>Artículo</w:t>
      </w:r>
      <w:r w:rsidRPr="0036439F">
        <w:rPr>
          <w:rFonts w:ascii="Arial" w:hAnsi="Arial" w:cs="Arial"/>
          <w:i/>
          <w:sz w:val="22"/>
          <w:szCs w:val="22"/>
        </w:rPr>
        <w:t> </w:t>
      </w:r>
      <w:r w:rsidRPr="0036439F">
        <w:rPr>
          <w:rFonts w:ascii="Arial" w:hAnsi="Arial" w:cs="Arial"/>
          <w:b/>
          <w:bCs/>
          <w:i/>
          <w:sz w:val="22"/>
          <w:szCs w:val="22"/>
          <w:lang w:val="es-ES"/>
        </w:rPr>
        <w:t>259. Inversiones en estrategias de salud mental a través de los Fondos de Desarrollo Local.</w:t>
      </w:r>
      <w:r w:rsidRPr="0036439F">
        <w:rPr>
          <w:rFonts w:ascii="Arial" w:hAnsi="Arial" w:cs="Arial"/>
          <w:i/>
          <w:sz w:val="22"/>
          <w:szCs w:val="22"/>
          <w:lang w:val="es-ES"/>
        </w:rPr>
        <w:t> Los Fondos de Desarrollo Local, de acuerdo con las disposiciones establecidas para el componente de salud mental en el Plan Territorial de Salud 2024-2027, podrá realizar inversiones complementarias en materia de promoción y fortalecimiento de la salud mental en los entornos familiar y comunitario en el ámbito de su jurisdicción. Se priorizarán aquellas inversiones locales que apalanquen el desarrollo de estrategias relacionadas con la prevención de la violencia intrafamiliar y el maltrato infantil, la promoción del autocuidado y el empoderamiento de los ciudadanos a través de herramientas de apoyo emocional y acompañamiento a personas que enfrentan escenarios de crisis.</w:t>
      </w:r>
    </w:p>
    <w:p w14:paraId="41C25F62" w14:textId="77777777" w:rsidR="0036439F" w:rsidRPr="0036439F" w:rsidRDefault="0036439F" w:rsidP="0036439F">
      <w:pPr>
        <w:ind w:left="360"/>
        <w:jc w:val="both"/>
        <w:rPr>
          <w:rFonts w:ascii="Arial" w:hAnsi="Arial" w:cs="Arial"/>
          <w:i/>
          <w:sz w:val="22"/>
          <w:szCs w:val="22"/>
        </w:rPr>
      </w:pPr>
    </w:p>
    <w:p w14:paraId="1F8901E6" w14:textId="32AA0ED9" w:rsidR="00464D0F" w:rsidRPr="0013233C" w:rsidRDefault="00464D0F">
      <w:pPr>
        <w:jc w:val="both"/>
        <w:rPr>
          <w:rFonts w:ascii="Arial" w:eastAsia="Arial" w:hAnsi="Arial" w:cs="Arial"/>
          <w:sz w:val="22"/>
          <w:szCs w:val="22"/>
        </w:rPr>
      </w:pPr>
    </w:p>
    <w:p w14:paraId="661A8927" w14:textId="69AD19B6" w:rsidR="00464D0F" w:rsidRPr="0013233C" w:rsidRDefault="008C0B08" w:rsidP="0041565D">
      <w:pPr>
        <w:pStyle w:val="Prrafodelista"/>
        <w:numPr>
          <w:ilvl w:val="0"/>
          <w:numId w:val="13"/>
        </w:numPr>
        <w:pBdr>
          <w:top w:val="nil"/>
          <w:left w:val="nil"/>
          <w:bottom w:val="nil"/>
          <w:right w:val="nil"/>
          <w:between w:val="nil"/>
        </w:pBdr>
        <w:jc w:val="both"/>
        <w:rPr>
          <w:rFonts w:eastAsia="Arial" w:cs="Arial"/>
          <w:b/>
          <w:sz w:val="22"/>
          <w:szCs w:val="22"/>
        </w:rPr>
      </w:pPr>
      <w:r w:rsidRPr="0013233C">
        <w:rPr>
          <w:rFonts w:eastAsia="Arial" w:cs="Arial"/>
          <w:b/>
          <w:sz w:val="22"/>
          <w:szCs w:val="22"/>
        </w:rPr>
        <w:t>SUSTENTO JURÍDICO DE LA INICIATIVA.</w:t>
      </w:r>
    </w:p>
    <w:p w14:paraId="230C8AA4" w14:textId="77777777" w:rsidR="00464D0F" w:rsidRPr="0013233C" w:rsidRDefault="00464D0F">
      <w:pPr>
        <w:spacing w:line="276" w:lineRule="auto"/>
        <w:jc w:val="both"/>
        <w:rPr>
          <w:rFonts w:ascii="Arial" w:eastAsia="Arial" w:hAnsi="Arial" w:cs="Arial"/>
          <w:b/>
          <w:sz w:val="22"/>
          <w:szCs w:val="22"/>
        </w:rPr>
      </w:pPr>
    </w:p>
    <w:p w14:paraId="332F7784" w14:textId="77777777" w:rsidR="00464D0F" w:rsidRPr="0013233C" w:rsidRDefault="008C0B08">
      <w:pPr>
        <w:spacing w:line="276" w:lineRule="auto"/>
        <w:jc w:val="both"/>
        <w:rPr>
          <w:rFonts w:ascii="Arial" w:eastAsia="Arial" w:hAnsi="Arial" w:cs="Arial"/>
          <w:b/>
          <w:sz w:val="22"/>
          <w:szCs w:val="22"/>
        </w:rPr>
      </w:pPr>
      <w:r w:rsidRPr="0013233C">
        <w:rPr>
          <w:rFonts w:ascii="Arial" w:eastAsia="Arial" w:hAnsi="Arial" w:cs="Arial"/>
          <w:b/>
          <w:sz w:val="22"/>
          <w:szCs w:val="22"/>
        </w:rPr>
        <w:t>CONSTITUCIÓN POLÍTICA</w:t>
      </w:r>
    </w:p>
    <w:p w14:paraId="1DC4E649" w14:textId="3785370C" w:rsidR="000164F7" w:rsidRPr="0013233C" w:rsidRDefault="000164F7" w:rsidP="005304C1">
      <w:pPr>
        <w:spacing w:line="276" w:lineRule="auto"/>
        <w:ind w:left="720"/>
        <w:jc w:val="both"/>
        <w:rPr>
          <w:rFonts w:ascii="Arial" w:eastAsia="Arial" w:hAnsi="Arial" w:cs="Arial"/>
          <w:b/>
          <w:sz w:val="22"/>
          <w:szCs w:val="22"/>
        </w:rPr>
      </w:pPr>
    </w:p>
    <w:p w14:paraId="2C697A48" w14:textId="705CB36E" w:rsidR="00221A96" w:rsidRPr="0013233C" w:rsidRDefault="00422AA4" w:rsidP="006B5508">
      <w:pPr>
        <w:ind w:left="720"/>
        <w:jc w:val="both"/>
        <w:rPr>
          <w:rFonts w:ascii="Arial" w:eastAsia="Arial" w:hAnsi="Arial" w:cs="Arial"/>
          <w:sz w:val="22"/>
          <w:szCs w:val="22"/>
        </w:rPr>
      </w:pPr>
      <w:r w:rsidRPr="0013233C">
        <w:rPr>
          <w:rFonts w:ascii="Arial" w:eastAsia="Arial" w:hAnsi="Arial" w:cs="Arial"/>
          <w:b/>
          <w:sz w:val="22"/>
          <w:szCs w:val="22"/>
        </w:rPr>
        <w:t xml:space="preserve">Artículo </w:t>
      </w:r>
      <w:r w:rsidR="00221A96" w:rsidRPr="0013233C">
        <w:rPr>
          <w:rFonts w:ascii="Arial" w:eastAsia="Arial" w:hAnsi="Arial" w:cs="Arial"/>
          <w:b/>
          <w:sz w:val="22"/>
          <w:szCs w:val="22"/>
        </w:rPr>
        <w:t xml:space="preserve">209. </w:t>
      </w:r>
      <w:r w:rsidR="00221A96" w:rsidRPr="0013233C">
        <w:rPr>
          <w:rFonts w:ascii="Arial" w:eastAsia="Arial" w:hAnsi="Arial" w:cs="Arial"/>
          <w:sz w:val="22"/>
          <w:szCs w:val="22"/>
        </w:rPr>
        <w:t>La función administrativa está al servicio de los intereses generales y se desarrolla con fundamento en los principios de igualdad, moralidad, eficacia, economía, celeridad, imparcialidad y publicidad, mediante la descentralización, la delegación y la desconcentración de funciones.</w:t>
      </w:r>
    </w:p>
    <w:p w14:paraId="6584F372" w14:textId="77777777" w:rsidR="00221A96" w:rsidRPr="0013233C" w:rsidRDefault="00221A96" w:rsidP="005304C1">
      <w:pPr>
        <w:spacing w:line="276" w:lineRule="auto"/>
        <w:ind w:left="720"/>
        <w:jc w:val="both"/>
        <w:rPr>
          <w:rFonts w:ascii="Arial" w:eastAsia="Arial" w:hAnsi="Arial" w:cs="Arial"/>
          <w:sz w:val="22"/>
          <w:szCs w:val="22"/>
        </w:rPr>
      </w:pPr>
    </w:p>
    <w:p w14:paraId="0C9DAA91" w14:textId="73EA7A57" w:rsidR="00221A96" w:rsidRPr="0013233C" w:rsidRDefault="00221A96" w:rsidP="006B5508">
      <w:pPr>
        <w:ind w:left="720"/>
        <w:jc w:val="both"/>
        <w:rPr>
          <w:rFonts w:ascii="Arial" w:eastAsia="Arial" w:hAnsi="Arial" w:cs="Arial"/>
          <w:sz w:val="22"/>
          <w:szCs w:val="22"/>
        </w:rPr>
      </w:pPr>
      <w:r w:rsidRPr="0013233C">
        <w:rPr>
          <w:rFonts w:ascii="Arial" w:eastAsia="Arial" w:hAnsi="Arial" w:cs="Arial"/>
          <w:sz w:val="22"/>
          <w:szCs w:val="22"/>
        </w:rPr>
        <w:t>Las autoridades administrativas deben coordinar sus actuaciones para el adecuado cumplimiento de los fines del Estado. La administración pública, en todos sus órdenes, tendrá un control interno que se ejercerá en los términos que señale la ley.</w:t>
      </w:r>
    </w:p>
    <w:p w14:paraId="05645345" w14:textId="5CEBE0C2" w:rsidR="00967C7C" w:rsidRPr="0013233C" w:rsidRDefault="00967C7C" w:rsidP="005304C1">
      <w:pPr>
        <w:spacing w:line="276" w:lineRule="auto"/>
        <w:ind w:left="720"/>
        <w:jc w:val="both"/>
        <w:rPr>
          <w:rFonts w:ascii="Arial" w:eastAsia="Arial" w:hAnsi="Arial" w:cs="Arial"/>
          <w:sz w:val="22"/>
          <w:szCs w:val="22"/>
        </w:rPr>
      </w:pPr>
    </w:p>
    <w:p w14:paraId="240783C6" w14:textId="77777777" w:rsidR="00967C7C" w:rsidRPr="0013233C" w:rsidRDefault="00967C7C" w:rsidP="006B5508">
      <w:pPr>
        <w:ind w:left="720"/>
        <w:jc w:val="both"/>
        <w:rPr>
          <w:rFonts w:ascii="Arial" w:eastAsia="Arial" w:hAnsi="Arial" w:cs="Arial"/>
          <w:sz w:val="22"/>
          <w:szCs w:val="22"/>
        </w:rPr>
      </w:pPr>
      <w:r w:rsidRPr="0013233C">
        <w:rPr>
          <w:rFonts w:ascii="Arial" w:eastAsia="Arial" w:hAnsi="Arial" w:cs="Arial"/>
          <w:b/>
          <w:bCs/>
          <w:sz w:val="22"/>
          <w:szCs w:val="22"/>
        </w:rPr>
        <w:t>Artículo 287.</w:t>
      </w:r>
      <w:r w:rsidRPr="0013233C">
        <w:rPr>
          <w:rFonts w:ascii="Arial" w:eastAsia="Arial" w:hAnsi="Arial" w:cs="Arial"/>
          <w:sz w:val="22"/>
          <w:szCs w:val="22"/>
        </w:rPr>
        <w:t> Las entidades territoriales gozan de autonomía para la gestión de sus intereses, y dentro de los límites de la Constitución y la ley. En tal virtud tendrán los siguientes derechos:</w:t>
      </w:r>
    </w:p>
    <w:p w14:paraId="4F5711E7" w14:textId="77777777" w:rsidR="00967C7C" w:rsidRPr="0013233C" w:rsidRDefault="00967C7C" w:rsidP="006B5508">
      <w:pPr>
        <w:ind w:left="720"/>
        <w:jc w:val="both"/>
        <w:rPr>
          <w:rFonts w:ascii="Arial" w:eastAsia="Arial" w:hAnsi="Arial" w:cs="Arial"/>
          <w:sz w:val="22"/>
          <w:szCs w:val="22"/>
        </w:rPr>
      </w:pPr>
      <w:r w:rsidRPr="0013233C">
        <w:rPr>
          <w:rFonts w:ascii="Arial" w:eastAsia="Arial" w:hAnsi="Arial" w:cs="Arial"/>
          <w:sz w:val="22"/>
          <w:szCs w:val="22"/>
        </w:rPr>
        <w:t> </w:t>
      </w:r>
    </w:p>
    <w:p w14:paraId="5A56B5FD" w14:textId="77777777" w:rsidR="00967C7C" w:rsidRPr="0013233C" w:rsidRDefault="00967C7C" w:rsidP="006B5508">
      <w:pPr>
        <w:ind w:left="720"/>
        <w:jc w:val="both"/>
        <w:rPr>
          <w:rFonts w:ascii="Arial" w:eastAsia="Arial" w:hAnsi="Arial" w:cs="Arial"/>
          <w:sz w:val="22"/>
          <w:szCs w:val="22"/>
        </w:rPr>
      </w:pPr>
      <w:r w:rsidRPr="0013233C">
        <w:rPr>
          <w:rFonts w:ascii="Arial" w:eastAsia="Arial" w:hAnsi="Arial" w:cs="Arial"/>
          <w:sz w:val="22"/>
          <w:szCs w:val="22"/>
        </w:rPr>
        <w:t>1. Gobernarse por autoridades propias.</w:t>
      </w:r>
    </w:p>
    <w:p w14:paraId="4B909A67" w14:textId="77777777" w:rsidR="00967C7C" w:rsidRPr="0013233C" w:rsidRDefault="00967C7C" w:rsidP="006B5508">
      <w:pPr>
        <w:ind w:left="720"/>
        <w:jc w:val="both"/>
        <w:rPr>
          <w:rFonts w:ascii="Arial" w:eastAsia="Arial" w:hAnsi="Arial" w:cs="Arial"/>
          <w:sz w:val="22"/>
          <w:szCs w:val="22"/>
        </w:rPr>
      </w:pPr>
      <w:r w:rsidRPr="0013233C">
        <w:rPr>
          <w:rFonts w:ascii="Arial" w:eastAsia="Arial" w:hAnsi="Arial" w:cs="Arial"/>
          <w:sz w:val="22"/>
          <w:szCs w:val="22"/>
        </w:rPr>
        <w:t>2. Ejercer las competencias que les correspondan.</w:t>
      </w:r>
    </w:p>
    <w:p w14:paraId="0580460D" w14:textId="77777777" w:rsidR="00967C7C" w:rsidRPr="0013233C" w:rsidRDefault="00967C7C" w:rsidP="006B5508">
      <w:pPr>
        <w:ind w:left="720"/>
        <w:jc w:val="both"/>
        <w:rPr>
          <w:rFonts w:ascii="Arial" w:eastAsia="Arial" w:hAnsi="Arial" w:cs="Arial"/>
          <w:sz w:val="22"/>
          <w:szCs w:val="22"/>
        </w:rPr>
      </w:pPr>
      <w:r w:rsidRPr="0013233C">
        <w:rPr>
          <w:rFonts w:ascii="Arial" w:eastAsia="Arial" w:hAnsi="Arial" w:cs="Arial"/>
          <w:sz w:val="22"/>
          <w:szCs w:val="22"/>
        </w:rPr>
        <w:t>3. Administrar los recursos y establecer los tributos necesarios para el cumplimiento de sus funciones.</w:t>
      </w:r>
    </w:p>
    <w:p w14:paraId="250C1207" w14:textId="61E2FBD2" w:rsidR="00967C7C" w:rsidRPr="0013233C" w:rsidRDefault="00967C7C" w:rsidP="006B5508">
      <w:pPr>
        <w:ind w:left="720"/>
        <w:jc w:val="both"/>
        <w:rPr>
          <w:rFonts w:ascii="Arial" w:eastAsia="Arial" w:hAnsi="Arial" w:cs="Arial"/>
          <w:sz w:val="22"/>
          <w:szCs w:val="22"/>
        </w:rPr>
      </w:pPr>
      <w:r w:rsidRPr="0013233C">
        <w:rPr>
          <w:rFonts w:ascii="Arial" w:eastAsia="Arial" w:hAnsi="Arial" w:cs="Arial"/>
          <w:sz w:val="22"/>
          <w:szCs w:val="22"/>
        </w:rPr>
        <w:t>4. Participar en las rentas nacionales.</w:t>
      </w:r>
    </w:p>
    <w:p w14:paraId="5BE38F5D" w14:textId="43FFC817" w:rsidR="00967C7C" w:rsidRPr="0013233C" w:rsidRDefault="00967C7C" w:rsidP="005304C1">
      <w:pPr>
        <w:spacing w:line="276" w:lineRule="auto"/>
        <w:ind w:left="720"/>
        <w:jc w:val="both"/>
        <w:rPr>
          <w:rFonts w:ascii="Arial" w:eastAsia="Arial" w:hAnsi="Arial" w:cs="Arial"/>
          <w:sz w:val="22"/>
          <w:szCs w:val="22"/>
        </w:rPr>
      </w:pPr>
    </w:p>
    <w:p w14:paraId="46ABE403" w14:textId="65E4CB82" w:rsidR="00967C7C" w:rsidRDefault="00967C7C" w:rsidP="006B5508">
      <w:pPr>
        <w:ind w:left="720"/>
        <w:jc w:val="both"/>
        <w:rPr>
          <w:rFonts w:ascii="Arial" w:eastAsia="Arial" w:hAnsi="Arial" w:cs="Arial"/>
          <w:sz w:val="22"/>
          <w:szCs w:val="22"/>
        </w:rPr>
      </w:pPr>
      <w:r w:rsidRPr="0013233C">
        <w:rPr>
          <w:rFonts w:ascii="Arial" w:eastAsia="Arial" w:hAnsi="Arial" w:cs="Arial"/>
          <w:b/>
          <w:bCs/>
          <w:sz w:val="22"/>
          <w:szCs w:val="22"/>
        </w:rPr>
        <w:t>Artículo 322.</w:t>
      </w:r>
      <w:r w:rsidRPr="0013233C">
        <w:rPr>
          <w:rFonts w:ascii="Arial" w:eastAsia="Arial" w:hAnsi="Arial" w:cs="Arial"/>
          <w:sz w:val="22"/>
          <w:szCs w:val="22"/>
        </w:rPr>
        <w:t> Bogotá Capital de la república y del departamento de Cundinamarca, se organiza como distrito capital, y su régimen político, fiscal y administrativo, será el que determinen la constitución y las leyes especiales que para el mismo se dicten y las disposiciones vigentes para los municipios. Con base en las normas generales que establezca la Ley, el concejo a iniciativa del alcalde dividirá el territorio distrital en localidades, de acuerdo con las características sociales de sus habitantes, y hará el correspondiente reparto de competencias y funciones administrativas. A las autoridades distritales corresponderá garantizar el desarrollo armónico e integrado de la ciudad y la eficiente prestación de los servicios a cargo del distrito; a las locales, la gestión de los asuntos de su territorio.</w:t>
      </w:r>
    </w:p>
    <w:p w14:paraId="15601890" w14:textId="229B1A17" w:rsidR="00C2781B" w:rsidRDefault="00C2781B" w:rsidP="006B5508">
      <w:pPr>
        <w:ind w:left="720"/>
        <w:jc w:val="both"/>
        <w:rPr>
          <w:rFonts w:ascii="Arial" w:eastAsia="Arial" w:hAnsi="Arial" w:cs="Arial"/>
          <w:sz w:val="22"/>
          <w:szCs w:val="22"/>
        </w:rPr>
      </w:pPr>
    </w:p>
    <w:p w14:paraId="3344ACAA" w14:textId="6CA0B419" w:rsidR="00C2781B" w:rsidRDefault="00C2781B" w:rsidP="006B5508">
      <w:pPr>
        <w:ind w:left="720"/>
        <w:jc w:val="both"/>
        <w:rPr>
          <w:rFonts w:ascii="Arial" w:eastAsia="Arial" w:hAnsi="Arial" w:cs="Arial"/>
          <w:sz w:val="22"/>
          <w:szCs w:val="22"/>
        </w:rPr>
      </w:pPr>
    </w:p>
    <w:p w14:paraId="6C2A01B7" w14:textId="77777777" w:rsidR="00C2781B" w:rsidRPr="0013233C" w:rsidRDefault="00C2781B" w:rsidP="006B5508">
      <w:pPr>
        <w:ind w:left="720"/>
        <w:jc w:val="both"/>
        <w:rPr>
          <w:rFonts w:ascii="Arial" w:eastAsia="Arial" w:hAnsi="Arial" w:cs="Arial"/>
          <w:sz w:val="22"/>
          <w:szCs w:val="22"/>
        </w:rPr>
      </w:pPr>
    </w:p>
    <w:p w14:paraId="7BD68A44" w14:textId="22469CE3" w:rsidR="0016402D" w:rsidRPr="0013233C" w:rsidRDefault="0016402D">
      <w:pPr>
        <w:spacing w:line="276" w:lineRule="auto"/>
        <w:jc w:val="both"/>
        <w:rPr>
          <w:rFonts w:ascii="Arial" w:eastAsia="Arial" w:hAnsi="Arial" w:cs="Arial"/>
          <w:sz w:val="22"/>
          <w:szCs w:val="22"/>
        </w:rPr>
      </w:pPr>
    </w:p>
    <w:p w14:paraId="52749D22" w14:textId="7D541647" w:rsidR="00464D0F" w:rsidRPr="0013233C" w:rsidRDefault="006C7863" w:rsidP="006B5508">
      <w:pPr>
        <w:jc w:val="both"/>
        <w:rPr>
          <w:rFonts w:ascii="Arial" w:eastAsia="Arial" w:hAnsi="Arial" w:cs="Arial"/>
          <w:b/>
          <w:sz w:val="22"/>
          <w:szCs w:val="22"/>
        </w:rPr>
      </w:pPr>
      <w:r w:rsidRPr="0013233C">
        <w:rPr>
          <w:rFonts w:ascii="Arial" w:eastAsia="Arial" w:hAnsi="Arial" w:cs="Arial"/>
          <w:b/>
          <w:sz w:val="22"/>
          <w:szCs w:val="22"/>
        </w:rPr>
        <w:t xml:space="preserve">DECRETO LEY </w:t>
      </w:r>
      <w:r w:rsidR="00422AA4" w:rsidRPr="0013233C">
        <w:rPr>
          <w:rFonts w:ascii="Arial" w:eastAsia="Arial" w:hAnsi="Arial" w:cs="Arial"/>
          <w:b/>
          <w:sz w:val="22"/>
          <w:szCs w:val="22"/>
        </w:rPr>
        <w:t>1421 DE</w:t>
      </w:r>
      <w:r w:rsidR="00570463" w:rsidRPr="0013233C">
        <w:rPr>
          <w:rFonts w:ascii="Arial" w:eastAsia="Arial" w:hAnsi="Arial" w:cs="Arial"/>
          <w:b/>
          <w:sz w:val="22"/>
          <w:szCs w:val="22"/>
        </w:rPr>
        <w:t xml:space="preserve"> 1993</w:t>
      </w:r>
      <w:r w:rsidR="0016402D" w:rsidRPr="0013233C">
        <w:rPr>
          <w:rFonts w:ascii="Arial" w:eastAsia="Arial" w:hAnsi="Arial" w:cs="Arial"/>
          <w:b/>
          <w:sz w:val="22"/>
          <w:szCs w:val="22"/>
        </w:rPr>
        <w:t xml:space="preserve">: </w:t>
      </w:r>
    </w:p>
    <w:p w14:paraId="5567945F" w14:textId="77777777" w:rsidR="009C083D" w:rsidRPr="0013233C" w:rsidRDefault="009C083D" w:rsidP="006B5508">
      <w:pPr>
        <w:jc w:val="both"/>
        <w:rPr>
          <w:rFonts w:ascii="Arial" w:eastAsia="Arial" w:hAnsi="Arial" w:cs="Arial"/>
          <w:b/>
          <w:sz w:val="22"/>
          <w:szCs w:val="22"/>
        </w:rPr>
      </w:pPr>
    </w:p>
    <w:p w14:paraId="7AAEB057" w14:textId="5D29D51E" w:rsidR="009C083D" w:rsidRPr="0013233C" w:rsidRDefault="00422AA4" w:rsidP="006B5508">
      <w:pPr>
        <w:ind w:left="720"/>
        <w:jc w:val="both"/>
        <w:rPr>
          <w:rFonts w:ascii="Arial" w:eastAsia="Arial" w:hAnsi="Arial" w:cs="Arial"/>
          <w:b/>
          <w:sz w:val="22"/>
          <w:szCs w:val="22"/>
        </w:rPr>
      </w:pPr>
      <w:bookmarkStart w:id="1" w:name="60"/>
      <w:r w:rsidRPr="0013233C">
        <w:rPr>
          <w:rFonts w:ascii="Arial" w:eastAsia="Arial" w:hAnsi="Arial" w:cs="Arial"/>
          <w:b/>
          <w:bCs/>
          <w:sz w:val="22"/>
          <w:szCs w:val="22"/>
        </w:rPr>
        <w:t>Artículo</w:t>
      </w:r>
      <w:r w:rsidR="006C7863" w:rsidRPr="0013233C">
        <w:rPr>
          <w:rFonts w:ascii="Arial" w:eastAsia="Arial" w:hAnsi="Arial" w:cs="Arial"/>
          <w:b/>
          <w:bCs/>
          <w:sz w:val="22"/>
          <w:szCs w:val="22"/>
        </w:rPr>
        <w:t xml:space="preserve"> 60. </w:t>
      </w:r>
      <w:r w:rsidRPr="0013233C">
        <w:rPr>
          <w:rFonts w:ascii="Arial" w:eastAsia="Arial" w:hAnsi="Arial" w:cs="Arial"/>
          <w:b/>
          <w:bCs/>
          <w:sz w:val="22"/>
          <w:szCs w:val="22"/>
        </w:rPr>
        <w:t>objetivos y propósitos</w:t>
      </w:r>
      <w:r w:rsidR="006C7863" w:rsidRPr="0013233C">
        <w:rPr>
          <w:rFonts w:ascii="Arial" w:eastAsia="Arial" w:hAnsi="Arial" w:cs="Arial"/>
          <w:b/>
          <w:bCs/>
          <w:sz w:val="22"/>
          <w:szCs w:val="22"/>
        </w:rPr>
        <w:t>.</w:t>
      </w:r>
      <w:bookmarkEnd w:id="1"/>
      <w:r w:rsidR="006C7863" w:rsidRPr="0013233C">
        <w:rPr>
          <w:rFonts w:ascii="Arial" w:eastAsia="Arial" w:hAnsi="Arial" w:cs="Arial"/>
          <w:b/>
          <w:sz w:val="22"/>
          <w:szCs w:val="22"/>
        </w:rPr>
        <w:t> La división territorial del Distrito Capital en localidades deberá garantizar:</w:t>
      </w:r>
    </w:p>
    <w:p w14:paraId="70823D84" w14:textId="39F7F7F1" w:rsidR="006C7863" w:rsidRPr="0013233C" w:rsidRDefault="006C7863" w:rsidP="006B5508">
      <w:pPr>
        <w:ind w:left="720"/>
        <w:jc w:val="both"/>
        <w:rPr>
          <w:rFonts w:ascii="Arial" w:eastAsia="Arial" w:hAnsi="Arial" w:cs="Arial"/>
          <w:b/>
          <w:sz w:val="22"/>
          <w:szCs w:val="22"/>
        </w:rPr>
      </w:pPr>
    </w:p>
    <w:p w14:paraId="78EFB16A" w14:textId="3F461A52" w:rsidR="006C7863" w:rsidRPr="0013233C" w:rsidRDefault="006C7863" w:rsidP="006B5508">
      <w:pPr>
        <w:ind w:left="720"/>
        <w:jc w:val="both"/>
        <w:rPr>
          <w:rFonts w:ascii="Arial" w:eastAsia="Arial" w:hAnsi="Arial" w:cs="Arial"/>
          <w:sz w:val="22"/>
          <w:szCs w:val="22"/>
        </w:rPr>
      </w:pPr>
      <w:r w:rsidRPr="0013233C">
        <w:rPr>
          <w:rFonts w:ascii="Arial" w:eastAsia="Arial" w:hAnsi="Arial" w:cs="Arial"/>
          <w:sz w:val="22"/>
          <w:szCs w:val="22"/>
        </w:rPr>
        <w:t>(…)</w:t>
      </w:r>
    </w:p>
    <w:p w14:paraId="75F6A16C" w14:textId="4AD14C79" w:rsidR="006C7863" w:rsidRPr="0013233C" w:rsidRDefault="006C7863" w:rsidP="006B5508">
      <w:pPr>
        <w:ind w:left="720"/>
        <w:jc w:val="both"/>
        <w:rPr>
          <w:rFonts w:ascii="Arial" w:eastAsia="Arial" w:hAnsi="Arial" w:cs="Arial"/>
          <w:sz w:val="22"/>
          <w:szCs w:val="22"/>
        </w:rPr>
      </w:pPr>
    </w:p>
    <w:p w14:paraId="5A6F9F70" w14:textId="65A69CDF" w:rsidR="006C7863" w:rsidRPr="0013233C" w:rsidRDefault="006C7863" w:rsidP="006B5508">
      <w:pPr>
        <w:ind w:left="720"/>
        <w:jc w:val="both"/>
        <w:rPr>
          <w:rFonts w:ascii="Arial" w:eastAsia="Arial" w:hAnsi="Arial" w:cs="Arial"/>
          <w:sz w:val="22"/>
          <w:szCs w:val="22"/>
        </w:rPr>
      </w:pPr>
      <w:r w:rsidRPr="0013233C">
        <w:rPr>
          <w:rFonts w:ascii="Arial" w:eastAsia="Arial" w:hAnsi="Arial" w:cs="Arial"/>
          <w:sz w:val="22"/>
          <w:szCs w:val="22"/>
        </w:rPr>
        <w:t>3. Que a las localidades se pueda asignar el ejercicio de algunas funciones, la construcción de las obras y la prestación de los servicios cuando con ello se contribuya a la mejor prestación de dichos servicios, se promueva, su mejoramiento y progreso económico y social.</w:t>
      </w:r>
    </w:p>
    <w:p w14:paraId="1AAFE701" w14:textId="629C0BFB" w:rsidR="009C083D" w:rsidRPr="0013233C" w:rsidRDefault="009C083D" w:rsidP="006B5508">
      <w:pPr>
        <w:ind w:left="720"/>
        <w:jc w:val="both"/>
        <w:rPr>
          <w:rFonts w:ascii="Arial" w:eastAsia="Arial" w:hAnsi="Arial" w:cs="Arial"/>
          <w:b/>
          <w:sz w:val="22"/>
          <w:szCs w:val="22"/>
        </w:rPr>
      </w:pPr>
    </w:p>
    <w:p w14:paraId="178495A5" w14:textId="1AEAC742" w:rsidR="006C7863" w:rsidRPr="0013233C" w:rsidRDefault="006C7863" w:rsidP="006B5508">
      <w:pPr>
        <w:ind w:left="720"/>
        <w:jc w:val="both"/>
        <w:rPr>
          <w:rFonts w:ascii="Arial" w:eastAsia="Arial" w:hAnsi="Arial" w:cs="Arial"/>
          <w:sz w:val="22"/>
          <w:szCs w:val="22"/>
        </w:rPr>
      </w:pPr>
      <w:r w:rsidRPr="0013233C">
        <w:rPr>
          <w:rFonts w:ascii="Arial" w:eastAsia="Arial" w:hAnsi="Arial" w:cs="Arial"/>
          <w:sz w:val="22"/>
          <w:szCs w:val="22"/>
        </w:rPr>
        <w:t xml:space="preserve">(…) </w:t>
      </w:r>
    </w:p>
    <w:p w14:paraId="3BEAFC3A" w14:textId="57E79AB5" w:rsidR="006C7863" w:rsidRPr="0013233C" w:rsidRDefault="006C7863" w:rsidP="006B5508">
      <w:pPr>
        <w:ind w:left="720"/>
        <w:jc w:val="both"/>
        <w:rPr>
          <w:rFonts w:ascii="Arial" w:eastAsia="Arial" w:hAnsi="Arial" w:cs="Arial"/>
          <w:sz w:val="22"/>
          <w:szCs w:val="22"/>
        </w:rPr>
      </w:pPr>
    </w:p>
    <w:p w14:paraId="6B26EA8B" w14:textId="5AFABDD0" w:rsidR="006C7863" w:rsidRPr="0013233C" w:rsidRDefault="006C7863" w:rsidP="006B5508">
      <w:pPr>
        <w:ind w:left="720"/>
        <w:jc w:val="both"/>
        <w:rPr>
          <w:rFonts w:ascii="Arial" w:eastAsia="Arial" w:hAnsi="Arial" w:cs="Arial"/>
          <w:sz w:val="22"/>
          <w:szCs w:val="22"/>
        </w:rPr>
      </w:pPr>
      <w:r w:rsidRPr="0013233C">
        <w:rPr>
          <w:rFonts w:ascii="Arial" w:eastAsia="Arial" w:hAnsi="Arial" w:cs="Arial"/>
          <w:sz w:val="22"/>
          <w:szCs w:val="22"/>
        </w:rPr>
        <w:t>5. El adecuado desarrollo de las actividades económicas y sociales que se cumplan en cada una de ellas.</w:t>
      </w:r>
    </w:p>
    <w:p w14:paraId="6050C87A" w14:textId="77777777" w:rsidR="006C7863" w:rsidRPr="0013233C" w:rsidRDefault="006C7863" w:rsidP="006B5508">
      <w:pPr>
        <w:ind w:left="720"/>
        <w:jc w:val="both"/>
        <w:rPr>
          <w:rFonts w:ascii="Arial" w:eastAsia="Arial" w:hAnsi="Arial" w:cs="Arial"/>
          <w:b/>
          <w:sz w:val="22"/>
          <w:szCs w:val="22"/>
        </w:rPr>
      </w:pPr>
    </w:p>
    <w:p w14:paraId="6DEE402E" w14:textId="0BA4B56A" w:rsidR="009B779C" w:rsidRPr="0013233C" w:rsidRDefault="00422AA4" w:rsidP="006B5508">
      <w:pPr>
        <w:ind w:left="720"/>
        <w:jc w:val="both"/>
        <w:rPr>
          <w:rFonts w:ascii="Arial" w:eastAsia="Arial" w:hAnsi="Arial" w:cs="Arial"/>
          <w:bCs/>
          <w:sz w:val="22"/>
          <w:szCs w:val="22"/>
        </w:rPr>
      </w:pPr>
      <w:bookmarkStart w:id="2" w:name="86"/>
      <w:r w:rsidRPr="0013233C">
        <w:rPr>
          <w:rFonts w:ascii="Arial" w:eastAsia="Arial" w:hAnsi="Arial" w:cs="Arial"/>
          <w:b/>
          <w:bCs/>
          <w:sz w:val="22"/>
          <w:szCs w:val="22"/>
        </w:rPr>
        <w:t>Artículo</w:t>
      </w:r>
      <w:r w:rsidR="00967C7C" w:rsidRPr="0013233C">
        <w:rPr>
          <w:rFonts w:ascii="Arial" w:eastAsia="Arial" w:hAnsi="Arial" w:cs="Arial"/>
          <w:b/>
          <w:bCs/>
          <w:sz w:val="22"/>
          <w:szCs w:val="22"/>
        </w:rPr>
        <w:t xml:space="preserve"> 86. A</w:t>
      </w:r>
      <w:r w:rsidRPr="0013233C">
        <w:rPr>
          <w:rFonts w:ascii="Arial" w:eastAsia="Arial" w:hAnsi="Arial" w:cs="Arial"/>
          <w:b/>
          <w:bCs/>
          <w:sz w:val="22"/>
          <w:szCs w:val="22"/>
        </w:rPr>
        <w:t>tribuciones</w:t>
      </w:r>
      <w:r w:rsidR="00967C7C" w:rsidRPr="0013233C">
        <w:rPr>
          <w:rFonts w:ascii="Arial" w:eastAsia="Arial" w:hAnsi="Arial" w:cs="Arial"/>
          <w:b/>
          <w:bCs/>
          <w:sz w:val="22"/>
          <w:szCs w:val="22"/>
        </w:rPr>
        <w:t>.</w:t>
      </w:r>
      <w:bookmarkEnd w:id="2"/>
      <w:r w:rsidR="00967C7C" w:rsidRPr="0013233C">
        <w:rPr>
          <w:rFonts w:ascii="Arial" w:eastAsia="Arial" w:hAnsi="Arial" w:cs="Arial"/>
          <w:bCs/>
          <w:sz w:val="22"/>
          <w:szCs w:val="22"/>
        </w:rPr>
        <w:t> &lt;Artículo modificado por el artículo </w:t>
      </w:r>
      <w:hyperlink r:id="rId11" w:anchor="11" w:history="1">
        <w:r w:rsidR="00967C7C" w:rsidRPr="0013233C">
          <w:rPr>
            <w:rStyle w:val="Hipervnculo"/>
            <w:rFonts w:ascii="Arial" w:eastAsia="Arial" w:hAnsi="Arial" w:cs="Arial"/>
            <w:bCs/>
            <w:color w:val="auto"/>
            <w:sz w:val="22"/>
            <w:szCs w:val="22"/>
          </w:rPr>
          <w:t>11</w:t>
        </w:r>
      </w:hyperlink>
      <w:r w:rsidR="00967C7C" w:rsidRPr="0013233C">
        <w:rPr>
          <w:rFonts w:ascii="Arial" w:eastAsia="Arial" w:hAnsi="Arial" w:cs="Arial"/>
          <w:bCs/>
          <w:sz w:val="22"/>
          <w:szCs w:val="22"/>
        </w:rPr>
        <w:t> de la Ley 2116 de 2021. El nuevo texto es el siguiente:&gt; Corresponde a los alcaldes locales:</w:t>
      </w:r>
    </w:p>
    <w:p w14:paraId="08258C37" w14:textId="448D38BC" w:rsidR="00967C7C" w:rsidRPr="0013233C" w:rsidRDefault="00967C7C" w:rsidP="006B5508">
      <w:pPr>
        <w:ind w:left="720"/>
        <w:jc w:val="both"/>
        <w:rPr>
          <w:rFonts w:ascii="Arial" w:eastAsia="Arial" w:hAnsi="Arial" w:cs="Arial"/>
          <w:bCs/>
          <w:sz w:val="22"/>
          <w:szCs w:val="22"/>
        </w:rPr>
      </w:pPr>
    </w:p>
    <w:p w14:paraId="78C66E81" w14:textId="143943CB" w:rsidR="00967C7C" w:rsidRPr="0013233C" w:rsidRDefault="00967C7C" w:rsidP="006B5508">
      <w:pPr>
        <w:ind w:left="720"/>
        <w:jc w:val="both"/>
        <w:rPr>
          <w:rFonts w:ascii="Arial" w:eastAsia="Arial" w:hAnsi="Arial" w:cs="Arial"/>
          <w:bCs/>
          <w:sz w:val="22"/>
          <w:szCs w:val="22"/>
        </w:rPr>
      </w:pPr>
      <w:r w:rsidRPr="0013233C">
        <w:rPr>
          <w:rFonts w:ascii="Arial" w:eastAsia="Arial" w:hAnsi="Arial" w:cs="Arial"/>
          <w:bCs/>
          <w:sz w:val="22"/>
          <w:szCs w:val="22"/>
        </w:rPr>
        <w:t>(…)</w:t>
      </w:r>
    </w:p>
    <w:p w14:paraId="32A6C1FE" w14:textId="789C918C" w:rsidR="00967C7C" w:rsidRPr="0013233C" w:rsidRDefault="00967C7C" w:rsidP="006B5508">
      <w:pPr>
        <w:ind w:left="720"/>
        <w:jc w:val="both"/>
        <w:rPr>
          <w:rFonts w:ascii="Arial" w:eastAsia="Arial" w:hAnsi="Arial" w:cs="Arial"/>
          <w:bCs/>
          <w:sz w:val="22"/>
          <w:szCs w:val="22"/>
        </w:rPr>
      </w:pPr>
    </w:p>
    <w:p w14:paraId="2988AE0F" w14:textId="480D9993" w:rsidR="00967C7C" w:rsidRPr="0013233C" w:rsidRDefault="00967C7C" w:rsidP="006B5508">
      <w:pPr>
        <w:ind w:left="720"/>
        <w:jc w:val="both"/>
        <w:rPr>
          <w:rFonts w:ascii="Arial" w:eastAsia="Arial" w:hAnsi="Arial" w:cs="Arial"/>
          <w:bCs/>
          <w:sz w:val="22"/>
          <w:szCs w:val="22"/>
        </w:rPr>
      </w:pPr>
      <w:r w:rsidRPr="0013233C">
        <w:rPr>
          <w:rFonts w:ascii="Arial" w:eastAsia="Arial" w:hAnsi="Arial" w:cs="Arial"/>
          <w:bCs/>
          <w:sz w:val="22"/>
          <w:szCs w:val="22"/>
        </w:rPr>
        <w:t>2. Administrar las alcaldías locales y los fondos de desarrollo local.</w:t>
      </w:r>
    </w:p>
    <w:p w14:paraId="40A05156" w14:textId="7C9BD545" w:rsidR="006F5AE0" w:rsidRPr="0013233C" w:rsidRDefault="006F5AE0" w:rsidP="006B5508">
      <w:pPr>
        <w:jc w:val="both"/>
        <w:rPr>
          <w:rFonts w:ascii="Arial" w:eastAsia="Arial" w:hAnsi="Arial" w:cs="Arial"/>
          <w:b/>
          <w:sz w:val="22"/>
          <w:szCs w:val="22"/>
        </w:rPr>
      </w:pPr>
    </w:p>
    <w:p w14:paraId="1E30055E" w14:textId="01ABB057" w:rsidR="006F5AE0" w:rsidRPr="0013233C" w:rsidRDefault="006F5AE0" w:rsidP="006B5508">
      <w:pPr>
        <w:jc w:val="both"/>
        <w:rPr>
          <w:rFonts w:ascii="Arial" w:eastAsia="Arial" w:hAnsi="Arial" w:cs="Arial"/>
          <w:bCs/>
          <w:iCs/>
          <w:sz w:val="22"/>
          <w:szCs w:val="22"/>
          <w:lang w:val="es-ES"/>
        </w:rPr>
      </w:pPr>
      <w:r w:rsidRPr="0013233C">
        <w:rPr>
          <w:rFonts w:ascii="Arial" w:eastAsia="Arial" w:hAnsi="Arial" w:cs="Arial"/>
          <w:b/>
          <w:bCs/>
          <w:sz w:val="22"/>
          <w:szCs w:val="22"/>
          <w:lang w:val="es-ES"/>
        </w:rPr>
        <w:t>ACUERDO </w:t>
      </w:r>
      <w:r w:rsidR="005304C1" w:rsidRPr="0013233C">
        <w:rPr>
          <w:rFonts w:ascii="Arial" w:eastAsia="Arial" w:hAnsi="Arial" w:cs="Arial"/>
          <w:b/>
          <w:bCs/>
          <w:sz w:val="22"/>
          <w:szCs w:val="22"/>
          <w:lang w:val="es-ES"/>
        </w:rPr>
        <w:t xml:space="preserve">DISTRITAL </w:t>
      </w:r>
      <w:r w:rsidRPr="0013233C">
        <w:rPr>
          <w:rFonts w:ascii="Arial" w:eastAsia="Arial" w:hAnsi="Arial" w:cs="Arial"/>
          <w:b/>
          <w:bCs/>
          <w:sz w:val="22"/>
          <w:szCs w:val="22"/>
          <w:lang w:val="es-419"/>
        </w:rPr>
        <w:t>740 DE </w:t>
      </w:r>
      <w:r w:rsidRPr="0013233C">
        <w:rPr>
          <w:rFonts w:ascii="Arial" w:eastAsia="Arial" w:hAnsi="Arial" w:cs="Arial"/>
          <w:b/>
          <w:bCs/>
          <w:sz w:val="22"/>
          <w:szCs w:val="22"/>
          <w:lang w:val="es-ES"/>
        </w:rPr>
        <w:t xml:space="preserve">2019, </w:t>
      </w:r>
      <w:r w:rsidRPr="0013233C">
        <w:rPr>
          <w:rFonts w:ascii="Arial" w:eastAsia="Arial" w:hAnsi="Arial" w:cs="Arial"/>
          <w:bCs/>
          <w:iCs/>
          <w:sz w:val="22"/>
          <w:szCs w:val="22"/>
          <w:lang w:val="es-ES"/>
        </w:rPr>
        <w:t>Por el cual se dictan normas en relación con la organización y el funcionamiento de las localidades de Bogotá, D.C.:</w:t>
      </w:r>
    </w:p>
    <w:p w14:paraId="437AD42A" w14:textId="3D4979DD" w:rsidR="006F5AE0" w:rsidRPr="0013233C" w:rsidRDefault="006F5AE0" w:rsidP="006B5508">
      <w:pPr>
        <w:jc w:val="both"/>
        <w:rPr>
          <w:rFonts w:ascii="Arial" w:eastAsia="Arial" w:hAnsi="Arial" w:cs="Arial"/>
          <w:bCs/>
          <w:iCs/>
          <w:sz w:val="22"/>
          <w:szCs w:val="22"/>
          <w:lang w:val="es-ES"/>
        </w:rPr>
      </w:pPr>
    </w:p>
    <w:p w14:paraId="46D4F19F" w14:textId="42FE1F11" w:rsidR="006F5AE0" w:rsidRPr="0013233C" w:rsidRDefault="00422AA4" w:rsidP="006B5508">
      <w:pPr>
        <w:ind w:left="720"/>
        <w:jc w:val="both"/>
        <w:rPr>
          <w:rFonts w:ascii="Arial" w:eastAsia="Arial" w:hAnsi="Arial" w:cs="Arial"/>
          <w:sz w:val="22"/>
          <w:szCs w:val="22"/>
          <w:lang w:val="es-ES"/>
        </w:rPr>
      </w:pPr>
      <w:r w:rsidRPr="0013233C">
        <w:rPr>
          <w:rFonts w:ascii="Arial" w:eastAsia="Arial" w:hAnsi="Arial" w:cs="Arial"/>
          <w:b/>
          <w:bCs/>
          <w:sz w:val="22"/>
          <w:szCs w:val="22"/>
          <w:lang w:val="es-ES"/>
        </w:rPr>
        <w:t>Artículo</w:t>
      </w:r>
      <w:r w:rsidR="006F5AE0" w:rsidRPr="0013233C">
        <w:rPr>
          <w:rFonts w:ascii="Arial" w:eastAsia="Arial" w:hAnsi="Arial" w:cs="Arial"/>
          <w:sz w:val="22"/>
          <w:szCs w:val="22"/>
        </w:rPr>
        <w:t> </w:t>
      </w:r>
      <w:r w:rsidR="006F5AE0" w:rsidRPr="0013233C">
        <w:rPr>
          <w:rFonts w:ascii="Arial" w:eastAsia="Arial" w:hAnsi="Arial" w:cs="Arial"/>
          <w:b/>
          <w:bCs/>
          <w:sz w:val="22"/>
          <w:szCs w:val="22"/>
          <w:lang w:val="es-ES"/>
        </w:rPr>
        <w:t>1.-</w:t>
      </w:r>
      <w:r w:rsidR="006F5AE0" w:rsidRPr="0013233C">
        <w:rPr>
          <w:rFonts w:ascii="Arial" w:eastAsia="Arial" w:hAnsi="Arial" w:cs="Arial"/>
          <w:sz w:val="22"/>
          <w:szCs w:val="22"/>
          <w:lang w:val="es-ES"/>
        </w:rPr>
        <w:t> Las Localidades en las que se organiza el territorio del Distrito Capital, como Sector de la Estructura Administrativa, son divisiones de carácter territorial, cuya finalidad es el bienestar general y el mejoramiento de la calidad de vida de la población en su respectiva jurisdicción.</w:t>
      </w:r>
    </w:p>
    <w:p w14:paraId="3725F8AB" w14:textId="46C1806D" w:rsidR="006F5AE0" w:rsidRPr="0013233C" w:rsidRDefault="006F5AE0" w:rsidP="006B5508">
      <w:pPr>
        <w:ind w:left="720"/>
        <w:jc w:val="both"/>
        <w:rPr>
          <w:rFonts w:ascii="Arial" w:eastAsia="Arial" w:hAnsi="Arial" w:cs="Arial"/>
          <w:sz w:val="22"/>
          <w:szCs w:val="22"/>
          <w:lang w:val="es-ES"/>
        </w:rPr>
      </w:pPr>
    </w:p>
    <w:p w14:paraId="0868BA4E" w14:textId="064421A1" w:rsidR="006F5AE0" w:rsidRPr="0013233C" w:rsidRDefault="006F5AE0" w:rsidP="006B5508">
      <w:pPr>
        <w:ind w:left="720"/>
        <w:jc w:val="both"/>
        <w:rPr>
          <w:rFonts w:ascii="Arial" w:eastAsia="Arial" w:hAnsi="Arial" w:cs="Arial"/>
          <w:sz w:val="22"/>
          <w:szCs w:val="22"/>
          <w:lang w:val="es-ES"/>
        </w:rPr>
      </w:pPr>
      <w:r w:rsidRPr="0013233C">
        <w:rPr>
          <w:rFonts w:ascii="Arial" w:eastAsia="Arial" w:hAnsi="Arial" w:cs="Arial"/>
          <w:sz w:val="22"/>
          <w:szCs w:val="22"/>
          <w:lang w:val="es-ES"/>
        </w:rPr>
        <w:t>(…)</w:t>
      </w:r>
    </w:p>
    <w:p w14:paraId="2D513EF0" w14:textId="465B48B8" w:rsidR="006F5AE0" w:rsidRPr="0013233C" w:rsidRDefault="006F5AE0" w:rsidP="006B5508">
      <w:pPr>
        <w:ind w:left="720"/>
        <w:jc w:val="both"/>
        <w:rPr>
          <w:rFonts w:ascii="Arial" w:eastAsia="Arial" w:hAnsi="Arial" w:cs="Arial"/>
          <w:sz w:val="22"/>
          <w:szCs w:val="22"/>
          <w:lang w:val="es-ES"/>
        </w:rPr>
      </w:pPr>
    </w:p>
    <w:p w14:paraId="1DD6BB1A" w14:textId="10D0E904" w:rsidR="006F5AE0" w:rsidRPr="0013233C" w:rsidRDefault="00422AA4" w:rsidP="006B5508">
      <w:pPr>
        <w:ind w:left="720"/>
        <w:jc w:val="both"/>
        <w:rPr>
          <w:rFonts w:ascii="Arial" w:eastAsia="Arial" w:hAnsi="Arial" w:cs="Arial"/>
          <w:sz w:val="22"/>
          <w:szCs w:val="22"/>
        </w:rPr>
      </w:pPr>
      <w:r w:rsidRPr="0013233C">
        <w:rPr>
          <w:rFonts w:ascii="Arial" w:eastAsia="Arial" w:hAnsi="Arial" w:cs="Arial"/>
          <w:b/>
          <w:bCs/>
          <w:sz w:val="22"/>
          <w:szCs w:val="22"/>
          <w:lang w:val="es-MX"/>
        </w:rPr>
        <w:t>Articulo</w:t>
      </w:r>
      <w:r w:rsidR="006F5AE0" w:rsidRPr="0013233C">
        <w:rPr>
          <w:rFonts w:ascii="Arial" w:eastAsia="Arial" w:hAnsi="Arial" w:cs="Arial"/>
          <w:sz w:val="22"/>
          <w:szCs w:val="22"/>
        </w:rPr>
        <w:t> </w:t>
      </w:r>
      <w:r w:rsidR="006F5AE0" w:rsidRPr="0013233C">
        <w:rPr>
          <w:rFonts w:ascii="Arial" w:eastAsia="Arial" w:hAnsi="Arial" w:cs="Arial"/>
          <w:b/>
          <w:bCs/>
          <w:sz w:val="22"/>
          <w:szCs w:val="22"/>
          <w:lang w:val="es-MX"/>
        </w:rPr>
        <w:t>5.-</w:t>
      </w:r>
      <w:r w:rsidR="006F5AE0" w:rsidRPr="0013233C">
        <w:rPr>
          <w:rFonts w:ascii="Arial" w:eastAsia="Arial" w:hAnsi="Arial" w:cs="Arial"/>
          <w:b/>
          <w:bCs/>
          <w:sz w:val="22"/>
          <w:szCs w:val="22"/>
        </w:rPr>
        <w:t> Competencias de los alcaldes locales</w:t>
      </w:r>
      <w:r w:rsidR="006F5AE0" w:rsidRPr="0013233C">
        <w:rPr>
          <w:rFonts w:ascii="Arial" w:eastAsia="Arial" w:hAnsi="Arial" w:cs="Arial"/>
          <w:sz w:val="22"/>
          <w:szCs w:val="22"/>
        </w:rPr>
        <w:t>. En consonancia con los principios de concurrencia, subsidiariedad, complementariedad y coordinación los Alcaldes Locales tienen las siguientes competencias que se desarrollarán en el ámbito local:</w:t>
      </w:r>
    </w:p>
    <w:p w14:paraId="51D48D04" w14:textId="77777777" w:rsidR="006F5AE0" w:rsidRPr="0013233C" w:rsidRDefault="006F5AE0" w:rsidP="006B5508">
      <w:pPr>
        <w:ind w:left="720"/>
        <w:jc w:val="both"/>
        <w:rPr>
          <w:rFonts w:ascii="Arial" w:eastAsia="Arial" w:hAnsi="Arial" w:cs="Arial"/>
          <w:sz w:val="22"/>
          <w:szCs w:val="22"/>
        </w:rPr>
      </w:pPr>
      <w:bookmarkStart w:id="3" w:name="_Hlk3460779"/>
      <w:r w:rsidRPr="0013233C">
        <w:rPr>
          <w:rFonts w:ascii="Arial" w:eastAsia="Arial" w:hAnsi="Arial" w:cs="Arial"/>
          <w:sz w:val="22"/>
          <w:szCs w:val="22"/>
        </w:rPr>
        <w:t> </w:t>
      </w:r>
      <w:bookmarkEnd w:id="3"/>
    </w:p>
    <w:p w14:paraId="6232B19C" w14:textId="7CA83F6E" w:rsidR="006F5AE0" w:rsidRPr="0013233C" w:rsidRDefault="006F5AE0" w:rsidP="006B5508">
      <w:pPr>
        <w:pStyle w:val="Prrafodelista"/>
        <w:numPr>
          <w:ilvl w:val="0"/>
          <w:numId w:val="12"/>
        </w:numPr>
        <w:ind w:left="1440"/>
        <w:jc w:val="both"/>
        <w:rPr>
          <w:rFonts w:eastAsia="Arial" w:cs="Arial"/>
          <w:sz w:val="22"/>
          <w:szCs w:val="22"/>
        </w:rPr>
      </w:pPr>
      <w:r w:rsidRPr="0013233C">
        <w:rPr>
          <w:rFonts w:eastAsia="Arial" w:cs="Arial"/>
          <w:sz w:val="22"/>
          <w:szCs w:val="22"/>
        </w:rPr>
        <w:t>Administrar las alcaldías locales y los Fondos de Desarrollo Local.</w:t>
      </w:r>
    </w:p>
    <w:p w14:paraId="5D965233" w14:textId="77777777" w:rsidR="000D45BC" w:rsidRPr="0013233C" w:rsidRDefault="000D45BC" w:rsidP="006B5508">
      <w:pPr>
        <w:pStyle w:val="Prrafodelista"/>
        <w:ind w:left="1440"/>
        <w:jc w:val="both"/>
        <w:rPr>
          <w:rFonts w:eastAsia="Arial" w:cs="Arial"/>
          <w:sz w:val="22"/>
          <w:szCs w:val="22"/>
        </w:rPr>
      </w:pPr>
    </w:p>
    <w:p w14:paraId="010D80FE" w14:textId="588836B9" w:rsidR="000D45BC" w:rsidRPr="0013233C" w:rsidRDefault="000D45BC" w:rsidP="006B5508">
      <w:pPr>
        <w:ind w:left="720"/>
        <w:jc w:val="both"/>
        <w:rPr>
          <w:rFonts w:ascii="Arial" w:eastAsia="Arial" w:hAnsi="Arial" w:cs="Arial"/>
          <w:sz w:val="22"/>
          <w:szCs w:val="22"/>
        </w:rPr>
      </w:pPr>
      <w:r w:rsidRPr="0013233C">
        <w:rPr>
          <w:rFonts w:ascii="Arial" w:eastAsia="Arial" w:hAnsi="Arial" w:cs="Arial"/>
          <w:sz w:val="22"/>
          <w:szCs w:val="22"/>
        </w:rPr>
        <w:t>(…)</w:t>
      </w:r>
    </w:p>
    <w:p w14:paraId="37018C84" w14:textId="6ADC5673" w:rsidR="006F5AE0" w:rsidRPr="0013233C" w:rsidRDefault="006F5AE0" w:rsidP="006B5508">
      <w:pPr>
        <w:ind w:left="720"/>
        <w:jc w:val="both"/>
        <w:rPr>
          <w:rFonts w:ascii="Arial" w:eastAsia="Arial" w:hAnsi="Arial" w:cs="Arial"/>
          <w:sz w:val="22"/>
          <w:szCs w:val="22"/>
        </w:rPr>
      </w:pPr>
    </w:p>
    <w:p w14:paraId="5D40232F" w14:textId="2FCEE3D5" w:rsidR="000D45BC" w:rsidRPr="0013233C" w:rsidRDefault="00422AA4" w:rsidP="006B5508">
      <w:pPr>
        <w:ind w:left="720"/>
        <w:jc w:val="both"/>
        <w:rPr>
          <w:rFonts w:ascii="Arial" w:eastAsia="Arial" w:hAnsi="Arial" w:cs="Arial"/>
          <w:sz w:val="22"/>
          <w:szCs w:val="22"/>
        </w:rPr>
      </w:pPr>
      <w:r w:rsidRPr="0013233C">
        <w:rPr>
          <w:rFonts w:ascii="Arial" w:eastAsia="Arial" w:hAnsi="Arial" w:cs="Arial"/>
          <w:b/>
          <w:bCs/>
          <w:sz w:val="22"/>
          <w:szCs w:val="22"/>
        </w:rPr>
        <w:t>artículo</w:t>
      </w:r>
      <w:r w:rsidR="000D45BC" w:rsidRPr="0013233C">
        <w:rPr>
          <w:rFonts w:ascii="Arial" w:eastAsia="Arial" w:hAnsi="Arial" w:cs="Arial"/>
          <w:sz w:val="22"/>
          <w:szCs w:val="22"/>
        </w:rPr>
        <w:t> </w:t>
      </w:r>
      <w:r w:rsidR="000D45BC" w:rsidRPr="0013233C">
        <w:rPr>
          <w:rFonts w:ascii="Arial" w:eastAsia="Arial" w:hAnsi="Arial" w:cs="Arial"/>
          <w:b/>
          <w:bCs/>
          <w:sz w:val="22"/>
          <w:szCs w:val="22"/>
        </w:rPr>
        <w:t>8.- Naturaleza.</w:t>
      </w:r>
      <w:r w:rsidR="000D45BC" w:rsidRPr="0013233C">
        <w:rPr>
          <w:rFonts w:ascii="Arial" w:eastAsia="Arial" w:hAnsi="Arial" w:cs="Arial"/>
          <w:sz w:val="22"/>
          <w:szCs w:val="22"/>
        </w:rPr>
        <w:t> En cada una de las localidades habrá un Fondo de Desarrollo Local con personería jurídica y patrimonio propio. Con cargo a los recursos del Fondo se financiarán las inversiones priorizadas en el Plan de Desarrollo Local, en concordancia con el Plan Distrital de Desarrollo y el Plan de Ordenamiento Territorial. La denominación de los Fondos se acompañará del nombre de la respectiva localidad.</w:t>
      </w:r>
    </w:p>
    <w:p w14:paraId="0092B132" w14:textId="77777777" w:rsidR="000D45BC" w:rsidRPr="0013233C" w:rsidRDefault="000D45BC" w:rsidP="006B5508">
      <w:pPr>
        <w:ind w:left="720"/>
        <w:jc w:val="both"/>
        <w:rPr>
          <w:rFonts w:ascii="Arial" w:eastAsia="Arial" w:hAnsi="Arial" w:cs="Arial"/>
          <w:sz w:val="22"/>
          <w:szCs w:val="22"/>
        </w:rPr>
      </w:pPr>
      <w:r w:rsidRPr="0013233C">
        <w:rPr>
          <w:rFonts w:ascii="Arial" w:eastAsia="Arial" w:hAnsi="Arial" w:cs="Arial"/>
          <w:sz w:val="22"/>
          <w:szCs w:val="22"/>
        </w:rPr>
        <w:t> </w:t>
      </w:r>
    </w:p>
    <w:p w14:paraId="16A48CF4" w14:textId="71E60343" w:rsidR="000D45BC" w:rsidRPr="0013233C" w:rsidRDefault="000D45BC" w:rsidP="006B5508">
      <w:pPr>
        <w:ind w:left="720"/>
        <w:jc w:val="both"/>
        <w:rPr>
          <w:rFonts w:ascii="Arial" w:eastAsia="Arial" w:hAnsi="Arial" w:cs="Arial"/>
          <w:sz w:val="22"/>
          <w:szCs w:val="22"/>
        </w:rPr>
      </w:pPr>
      <w:r w:rsidRPr="0013233C">
        <w:rPr>
          <w:rFonts w:ascii="Arial" w:eastAsia="Arial" w:hAnsi="Arial" w:cs="Arial"/>
          <w:b/>
          <w:bCs/>
          <w:sz w:val="22"/>
          <w:szCs w:val="22"/>
        </w:rPr>
        <w:t>Parágrafo.</w:t>
      </w:r>
      <w:r w:rsidRPr="0013233C">
        <w:rPr>
          <w:rFonts w:ascii="Arial" w:eastAsia="Arial" w:hAnsi="Arial" w:cs="Arial"/>
          <w:sz w:val="22"/>
          <w:szCs w:val="22"/>
        </w:rPr>
        <w:t> En el caso del Fondo de Desarrollo de la Localidad de Sumapaz, se denominará Fondo de Desarrollo Rural de Sumapaz.</w:t>
      </w:r>
    </w:p>
    <w:p w14:paraId="20182238" w14:textId="58E58201" w:rsidR="009B1D3A" w:rsidRPr="0013233C" w:rsidRDefault="009B1D3A" w:rsidP="006B5508">
      <w:pPr>
        <w:ind w:left="720"/>
        <w:jc w:val="both"/>
        <w:rPr>
          <w:rFonts w:ascii="Arial" w:eastAsia="Arial" w:hAnsi="Arial" w:cs="Arial"/>
          <w:sz w:val="22"/>
          <w:szCs w:val="22"/>
        </w:rPr>
      </w:pPr>
    </w:p>
    <w:p w14:paraId="77B93B06" w14:textId="3AA13006" w:rsidR="009B1D3A" w:rsidRPr="0013233C" w:rsidRDefault="009B1D3A" w:rsidP="006B5508">
      <w:pPr>
        <w:ind w:left="720"/>
        <w:jc w:val="both"/>
        <w:rPr>
          <w:rFonts w:ascii="Arial" w:eastAsia="Arial" w:hAnsi="Arial" w:cs="Arial"/>
          <w:sz w:val="22"/>
          <w:szCs w:val="22"/>
        </w:rPr>
      </w:pPr>
      <w:r w:rsidRPr="0013233C">
        <w:rPr>
          <w:rFonts w:ascii="Arial" w:eastAsia="Arial" w:hAnsi="Arial" w:cs="Arial"/>
          <w:sz w:val="22"/>
          <w:szCs w:val="22"/>
        </w:rPr>
        <w:t>(…)</w:t>
      </w:r>
    </w:p>
    <w:p w14:paraId="21ED7782" w14:textId="634B6C59" w:rsidR="000D45BC" w:rsidRPr="0013233C" w:rsidRDefault="000D45BC" w:rsidP="006B5508">
      <w:pPr>
        <w:ind w:left="720"/>
        <w:jc w:val="both"/>
        <w:rPr>
          <w:rFonts w:ascii="Arial" w:eastAsia="Arial" w:hAnsi="Arial" w:cs="Arial"/>
          <w:sz w:val="22"/>
          <w:szCs w:val="22"/>
        </w:rPr>
      </w:pPr>
    </w:p>
    <w:p w14:paraId="5F887024" w14:textId="4139BD90" w:rsidR="000D45BC" w:rsidRPr="0013233C" w:rsidRDefault="00422AA4" w:rsidP="006B5508">
      <w:pPr>
        <w:ind w:left="720"/>
        <w:jc w:val="both"/>
        <w:rPr>
          <w:rFonts w:ascii="Arial" w:eastAsia="Arial" w:hAnsi="Arial" w:cs="Arial"/>
          <w:sz w:val="22"/>
          <w:szCs w:val="22"/>
        </w:rPr>
      </w:pPr>
      <w:r w:rsidRPr="0013233C">
        <w:rPr>
          <w:rFonts w:ascii="Arial" w:eastAsia="Arial" w:hAnsi="Arial" w:cs="Arial"/>
          <w:b/>
          <w:bCs/>
          <w:sz w:val="22"/>
          <w:szCs w:val="22"/>
        </w:rPr>
        <w:t>Artículo</w:t>
      </w:r>
      <w:r w:rsidR="000D45BC" w:rsidRPr="0013233C">
        <w:rPr>
          <w:rFonts w:ascii="Arial" w:eastAsia="Arial" w:hAnsi="Arial" w:cs="Arial"/>
          <w:sz w:val="22"/>
          <w:szCs w:val="22"/>
        </w:rPr>
        <w:t> </w:t>
      </w:r>
      <w:r w:rsidR="000D45BC" w:rsidRPr="0013233C">
        <w:rPr>
          <w:rFonts w:ascii="Arial" w:eastAsia="Arial" w:hAnsi="Arial" w:cs="Arial"/>
          <w:b/>
          <w:bCs/>
          <w:sz w:val="22"/>
          <w:szCs w:val="22"/>
        </w:rPr>
        <w:t>11.- Representación legal y reglamento.</w:t>
      </w:r>
      <w:r w:rsidR="000D45BC" w:rsidRPr="0013233C">
        <w:rPr>
          <w:rFonts w:ascii="Arial" w:eastAsia="Arial" w:hAnsi="Arial" w:cs="Arial"/>
          <w:sz w:val="22"/>
          <w:szCs w:val="22"/>
        </w:rPr>
        <w:t> El Alcalde Mayor de Bogotá D.C., será el representante legal de los Fondos de Desarrollo Local y ordenador del gasto, podrá delegar respecto de cada Fondo la totalidad o parte de dichas funciones, de conformidad con el artículo </w:t>
      </w:r>
      <w:hyperlink r:id="rId12" w:anchor="40" w:history="1">
        <w:r w:rsidR="000D45BC" w:rsidRPr="0013233C">
          <w:rPr>
            <w:rStyle w:val="Hipervnculo"/>
            <w:rFonts w:ascii="Arial" w:eastAsia="Arial" w:hAnsi="Arial" w:cs="Arial"/>
            <w:color w:val="auto"/>
            <w:sz w:val="22"/>
            <w:szCs w:val="22"/>
          </w:rPr>
          <w:t>40</w:t>
        </w:r>
      </w:hyperlink>
      <w:r w:rsidR="000D45BC" w:rsidRPr="0013233C">
        <w:rPr>
          <w:rFonts w:ascii="Arial" w:eastAsia="Arial" w:hAnsi="Arial" w:cs="Arial"/>
          <w:sz w:val="22"/>
          <w:szCs w:val="22"/>
        </w:rPr>
        <w:t> del Decreto Ley 1421 de 1993. El Alcalde Mayor expedirá el reglamento de los Fondos de Desarrollo Local.</w:t>
      </w:r>
    </w:p>
    <w:p w14:paraId="18C8B460" w14:textId="4CAB59A5" w:rsidR="000D45BC" w:rsidRPr="0013233C" w:rsidRDefault="000D45BC" w:rsidP="006B5508">
      <w:pPr>
        <w:ind w:left="720"/>
        <w:jc w:val="both"/>
        <w:rPr>
          <w:rFonts w:ascii="Arial" w:eastAsia="Arial" w:hAnsi="Arial" w:cs="Arial"/>
          <w:sz w:val="22"/>
          <w:szCs w:val="22"/>
        </w:rPr>
      </w:pPr>
    </w:p>
    <w:p w14:paraId="649AFF7B" w14:textId="2B9AE7B5" w:rsidR="000D45BC" w:rsidRPr="0013233C" w:rsidRDefault="000D45BC" w:rsidP="006B5508">
      <w:pPr>
        <w:ind w:left="720"/>
        <w:jc w:val="both"/>
        <w:rPr>
          <w:rFonts w:ascii="Arial" w:eastAsia="Arial" w:hAnsi="Arial" w:cs="Arial"/>
          <w:sz w:val="22"/>
          <w:szCs w:val="22"/>
        </w:rPr>
      </w:pPr>
      <w:r w:rsidRPr="0013233C">
        <w:rPr>
          <w:rFonts w:ascii="Arial" w:eastAsia="Arial" w:hAnsi="Arial" w:cs="Arial"/>
          <w:sz w:val="22"/>
          <w:szCs w:val="22"/>
        </w:rPr>
        <w:t>La vigilancia de la gestión fiscal de los Fondos de Desarrollo Local corresponde a la Contraloría Distrital.</w:t>
      </w:r>
    </w:p>
    <w:p w14:paraId="70B7DBC0" w14:textId="7E955CDA" w:rsidR="009B1D3A" w:rsidRPr="0013233C" w:rsidRDefault="009B1D3A" w:rsidP="006B5508">
      <w:pPr>
        <w:ind w:left="720"/>
        <w:jc w:val="both"/>
        <w:rPr>
          <w:rFonts w:ascii="Arial" w:eastAsia="Arial" w:hAnsi="Arial" w:cs="Arial"/>
          <w:sz w:val="22"/>
          <w:szCs w:val="22"/>
        </w:rPr>
      </w:pPr>
    </w:p>
    <w:p w14:paraId="4318099C" w14:textId="0BB9CC79" w:rsidR="009B1D3A" w:rsidRPr="0013233C" w:rsidRDefault="009B1D3A" w:rsidP="006B5508">
      <w:pPr>
        <w:ind w:left="720"/>
        <w:jc w:val="both"/>
        <w:rPr>
          <w:rFonts w:ascii="Arial" w:eastAsia="Arial" w:hAnsi="Arial" w:cs="Arial"/>
          <w:sz w:val="22"/>
          <w:szCs w:val="22"/>
        </w:rPr>
      </w:pPr>
      <w:r w:rsidRPr="0013233C">
        <w:rPr>
          <w:rFonts w:ascii="Arial" w:eastAsia="Arial" w:hAnsi="Arial" w:cs="Arial"/>
          <w:sz w:val="22"/>
          <w:szCs w:val="22"/>
        </w:rPr>
        <w:t>(…)</w:t>
      </w:r>
    </w:p>
    <w:p w14:paraId="7D85FDF2" w14:textId="77777777" w:rsidR="009B1D3A" w:rsidRPr="0013233C" w:rsidRDefault="009B1D3A" w:rsidP="006B5508">
      <w:pPr>
        <w:ind w:left="720"/>
        <w:jc w:val="both"/>
        <w:rPr>
          <w:rFonts w:ascii="Arial" w:eastAsia="Arial" w:hAnsi="Arial" w:cs="Arial"/>
          <w:sz w:val="22"/>
          <w:szCs w:val="22"/>
        </w:rPr>
      </w:pPr>
    </w:p>
    <w:p w14:paraId="676C7D27" w14:textId="204229EE" w:rsidR="009B1D3A" w:rsidRPr="0013233C" w:rsidRDefault="00422AA4" w:rsidP="006B5508">
      <w:pPr>
        <w:ind w:left="720"/>
        <w:jc w:val="both"/>
        <w:rPr>
          <w:rFonts w:ascii="Arial" w:eastAsia="Arial" w:hAnsi="Arial" w:cs="Arial"/>
          <w:sz w:val="22"/>
          <w:szCs w:val="22"/>
        </w:rPr>
      </w:pPr>
      <w:r w:rsidRPr="0013233C">
        <w:rPr>
          <w:rFonts w:ascii="Arial" w:eastAsia="Arial" w:hAnsi="Arial" w:cs="Arial"/>
          <w:b/>
          <w:bCs/>
          <w:sz w:val="22"/>
          <w:szCs w:val="22"/>
        </w:rPr>
        <w:t>Artículo</w:t>
      </w:r>
      <w:r w:rsidRPr="0013233C">
        <w:rPr>
          <w:rFonts w:ascii="Arial" w:eastAsia="Arial" w:hAnsi="Arial" w:cs="Arial"/>
          <w:sz w:val="22"/>
          <w:szCs w:val="22"/>
        </w:rPr>
        <w:t> </w:t>
      </w:r>
      <w:r w:rsidR="009B1D3A" w:rsidRPr="0013233C">
        <w:rPr>
          <w:rFonts w:ascii="Arial" w:eastAsia="Arial" w:hAnsi="Arial" w:cs="Arial"/>
          <w:b/>
          <w:bCs/>
          <w:sz w:val="22"/>
          <w:szCs w:val="22"/>
        </w:rPr>
        <w:t>14.-</w:t>
      </w:r>
      <w:r w:rsidR="009B1D3A" w:rsidRPr="0013233C">
        <w:rPr>
          <w:rFonts w:ascii="Arial" w:eastAsia="Arial" w:hAnsi="Arial" w:cs="Arial"/>
          <w:sz w:val="22"/>
          <w:szCs w:val="22"/>
        </w:rPr>
        <w:t> </w:t>
      </w:r>
      <w:r w:rsidR="009B1D3A" w:rsidRPr="0013233C">
        <w:rPr>
          <w:rFonts w:ascii="Arial" w:eastAsia="Arial" w:hAnsi="Arial" w:cs="Arial"/>
          <w:b/>
          <w:bCs/>
          <w:sz w:val="22"/>
          <w:szCs w:val="22"/>
        </w:rPr>
        <w:t>Vigilancia y Control de las Juntas Administradoras Locales.</w:t>
      </w:r>
      <w:r w:rsidR="009B1D3A" w:rsidRPr="0013233C">
        <w:rPr>
          <w:rFonts w:ascii="Arial" w:eastAsia="Arial" w:hAnsi="Arial" w:cs="Arial"/>
          <w:sz w:val="22"/>
          <w:szCs w:val="22"/>
        </w:rPr>
        <w:t> Las Juntas Administradoras Locales realizarán la vigilancia y control sobre la inversión y ejecución de los recursos asignados al respectivo Fondo de Desarrollo Local. </w:t>
      </w:r>
    </w:p>
    <w:p w14:paraId="480A3562" w14:textId="77777777" w:rsidR="009B1D3A" w:rsidRPr="0013233C" w:rsidRDefault="009B1D3A" w:rsidP="006B5508">
      <w:pPr>
        <w:ind w:left="720"/>
        <w:jc w:val="both"/>
        <w:rPr>
          <w:rFonts w:ascii="Arial" w:eastAsia="Arial" w:hAnsi="Arial" w:cs="Arial"/>
          <w:sz w:val="22"/>
          <w:szCs w:val="22"/>
        </w:rPr>
      </w:pPr>
      <w:r w:rsidRPr="0013233C">
        <w:rPr>
          <w:rFonts w:ascii="Arial" w:eastAsia="Arial" w:hAnsi="Arial" w:cs="Arial"/>
          <w:sz w:val="22"/>
          <w:szCs w:val="22"/>
        </w:rPr>
        <w:t> </w:t>
      </w:r>
    </w:p>
    <w:p w14:paraId="4AAEBFE0" w14:textId="77777777" w:rsidR="009B1D3A" w:rsidRPr="0013233C" w:rsidRDefault="009B1D3A" w:rsidP="006B5508">
      <w:pPr>
        <w:ind w:left="720"/>
        <w:jc w:val="both"/>
        <w:rPr>
          <w:rFonts w:ascii="Arial" w:eastAsia="Arial" w:hAnsi="Arial" w:cs="Arial"/>
          <w:sz w:val="22"/>
          <w:szCs w:val="22"/>
        </w:rPr>
      </w:pPr>
      <w:r w:rsidRPr="0013233C">
        <w:rPr>
          <w:rFonts w:ascii="Arial" w:eastAsia="Arial" w:hAnsi="Arial" w:cs="Arial"/>
          <w:sz w:val="22"/>
          <w:szCs w:val="22"/>
        </w:rPr>
        <w:t>Asimismo, en concordancia con lo establecido en el numeral </w:t>
      </w:r>
      <w:hyperlink r:id="rId13" w:anchor="69.n.2" w:history="1">
        <w:r w:rsidRPr="0013233C">
          <w:rPr>
            <w:rStyle w:val="Hipervnculo"/>
            <w:rFonts w:ascii="Arial" w:eastAsia="Arial" w:hAnsi="Arial" w:cs="Arial"/>
            <w:color w:val="auto"/>
            <w:sz w:val="22"/>
            <w:szCs w:val="22"/>
          </w:rPr>
          <w:t>2</w:t>
        </w:r>
      </w:hyperlink>
      <w:r w:rsidRPr="0013233C">
        <w:rPr>
          <w:rFonts w:ascii="Arial" w:eastAsia="Arial" w:hAnsi="Arial" w:cs="Arial"/>
          <w:sz w:val="22"/>
          <w:szCs w:val="22"/>
        </w:rPr>
        <w:t> del artículo 69 del Decreto Ley 1421 de 1993, realizarán la vigilancia y control sobre la prestación de servicios distritales en su localidad. Para tal efecto, la Junta Administradora Local podrá convocar a los delegados o designados por los Sectores Administrativos de Coordinación y de las entidades adscritas o vinculadas a éstos, y su asistencia será de carácter obligatorio.</w:t>
      </w:r>
    </w:p>
    <w:p w14:paraId="2D03D4F6" w14:textId="77777777" w:rsidR="009B1D3A" w:rsidRPr="0013233C" w:rsidRDefault="009B1D3A" w:rsidP="006B5508">
      <w:pPr>
        <w:ind w:left="720"/>
        <w:jc w:val="both"/>
        <w:rPr>
          <w:rFonts w:ascii="Arial" w:eastAsia="Arial" w:hAnsi="Arial" w:cs="Arial"/>
          <w:sz w:val="22"/>
          <w:szCs w:val="22"/>
        </w:rPr>
      </w:pPr>
      <w:r w:rsidRPr="0013233C">
        <w:rPr>
          <w:rFonts w:ascii="Arial" w:eastAsia="Arial" w:hAnsi="Arial" w:cs="Arial"/>
          <w:sz w:val="22"/>
          <w:szCs w:val="22"/>
        </w:rPr>
        <w:t> </w:t>
      </w:r>
    </w:p>
    <w:p w14:paraId="070D9A04" w14:textId="77777777" w:rsidR="009B1D3A" w:rsidRPr="0013233C" w:rsidRDefault="009B1D3A" w:rsidP="006B5508">
      <w:pPr>
        <w:ind w:left="720"/>
        <w:jc w:val="both"/>
        <w:rPr>
          <w:rFonts w:ascii="Arial" w:eastAsia="Arial" w:hAnsi="Arial" w:cs="Arial"/>
          <w:sz w:val="22"/>
          <w:szCs w:val="22"/>
        </w:rPr>
      </w:pPr>
      <w:r w:rsidRPr="0013233C">
        <w:rPr>
          <w:rFonts w:ascii="Arial" w:eastAsia="Arial" w:hAnsi="Arial" w:cs="Arial"/>
          <w:b/>
          <w:bCs/>
          <w:sz w:val="22"/>
          <w:szCs w:val="22"/>
        </w:rPr>
        <w:t>Parágrafo</w:t>
      </w:r>
      <w:r w:rsidRPr="0013233C">
        <w:rPr>
          <w:rFonts w:ascii="Arial" w:eastAsia="Arial" w:hAnsi="Arial" w:cs="Arial"/>
          <w:sz w:val="22"/>
          <w:szCs w:val="22"/>
        </w:rPr>
        <w:t> </w:t>
      </w:r>
      <w:r w:rsidRPr="0013233C">
        <w:rPr>
          <w:rFonts w:ascii="Arial" w:eastAsia="Arial" w:hAnsi="Arial" w:cs="Arial"/>
          <w:b/>
          <w:bCs/>
          <w:sz w:val="22"/>
          <w:szCs w:val="22"/>
        </w:rPr>
        <w:t>1.</w:t>
      </w:r>
      <w:r w:rsidRPr="0013233C">
        <w:rPr>
          <w:rFonts w:ascii="Arial" w:eastAsia="Arial" w:hAnsi="Arial" w:cs="Arial"/>
          <w:sz w:val="22"/>
          <w:szCs w:val="22"/>
        </w:rPr>
        <w:t> La Administración Distrital a través de los Sectores Administrativos de Coordinación y las entidades adscritas o vinculadas a éstos, definirán los funcionarios delegados o designados para cada localidad, con el fin de atender las convocatorias realizadas por las Juntas Administradoras Locales, de conformidad con las temáticas a abordar.</w:t>
      </w:r>
    </w:p>
    <w:p w14:paraId="2FDA4B38" w14:textId="77777777" w:rsidR="009B1D3A" w:rsidRPr="0013233C" w:rsidRDefault="009B1D3A" w:rsidP="006B5508">
      <w:pPr>
        <w:ind w:left="720"/>
        <w:jc w:val="both"/>
        <w:rPr>
          <w:rFonts w:ascii="Arial" w:eastAsia="Arial" w:hAnsi="Arial" w:cs="Arial"/>
          <w:sz w:val="22"/>
          <w:szCs w:val="22"/>
        </w:rPr>
      </w:pPr>
      <w:r w:rsidRPr="0013233C">
        <w:rPr>
          <w:rFonts w:ascii="Arial" w:eastAsia="Arial" w:hAnsi="Arial" w:cs="Arial"/>
          <w:sz w:val="22"/>
          <w:szCs w:val="22"/>
        </w:rPr>
        <w:t> </w:t>
      </w:r>
    </w:p>
    <w:p w14:paraId="64846CEC" w14:textId="3E9BCDAC" w:rsidR="009B1D3A" w:rsidRPr="0013233C" w:rsidRDefault="009B1D3A" w:rsidP="006B5508">
      <w:pPr>
        <w:ind w:left="720"/>
        <w:jc w:val="both"/>
        <w:rPr>
          <w:rFonts w:ascii="Arial" w:eastAsia="Arial" w:hAnsi="Arial" w:cs="Arial"/>
          <w:sz w:val="22"/>
          <w:szCs w:val="22"/>
        </w:rPr>
      </w:pPr>
      <w:r w:rsidRPr="0013233C">
        <w:rPr>
          <w:rFonts w:ascii="Arial" w:eastAsia="Arial" w:hAnsi="Arial" w:cs="Arial"/>
          <w:b/>
          <w:bCs/>
          <w:sz w:val="22"/>
          <w:szCs w:val="22"/>
        </w:rPr>
        <w:t>ARTÍCULO</w:t>
      </w:r>
      <w:r w:rsidRPr="0013233C">
        <w:rPr>
          <w:rFonts w:ascii="Arial" w:eastAsia="Arial" w:hAnsi="Arial" w:cs="Arial"/>
          <w:sz w:val="22"/>
          <w:szCs w:val="22"/>
        </w:rPr>
        <w:t> </w:t>
      </w:r>
      <w:r w:rsidRPr="0013233C">
        <w:rPr>
          <w:rFonts w:ascii="Arial" w:eastAsia="Arial" w:hAnsi="Arial" w:cs="Arial"/>
          <w:b/>
          <w:bCs/>
          <w:sz w:val="22"/>
          <w:szCs w:val="22"/>
        </w:rPr>
        <w:t>15.- Representación y defensa judicial.</w:t>
      </w:r>
      <w:r w:rsidRPr="0013233C">
        <w:rPr>
          <w:rFonts w:ascii="Arial" w:eastAsia="Arial" w:hAnsi="Arial" w:cs="Arial"/>
          <w:sz w:val="22"/>
          <w:szCs w:val="22"/>
        </w:rPr>
        <w:t> La representación y defensa judicial de los Fondos Desarrollo Local estará a cargo de la administración distrital, conforme lo determine el Alcalde Mayor de Bogotá D. C.</w:t>
      </w:r>
    </w:p>
    <w:p w14:paraId="7A2E2250" w14:textId="1B5E0A3D" w:rsidR="009B1D3A" w:rsidRPr="0013233C" w:rsidRDefault="009B1D3A" w:rsidP="006B5508">
      <w:pPr>
        <w:jc w:val="both"/>
        <w:rPr>
          <w:rFonts w:ascii="Arial" w:eastAsia="Arial" w:hAnsi="Arial" w:cs="Arial"/>
          <w:b/>
          <w:sz w:val="22"/>
          <w:szCs w:val="22"/>
        </w:rPr>
      </w:pPr>
    </w:p>
    <w:p w14:paraId="3DF08B20" w14:textId="1DC98F91" w:rsidR="002A098C" w:rsidRPr="0013233C" w:rsidRDefault="002A098C" w:rsidP="006B5508">
      <w:pPr>
        <w:jc w:val="both"/>
        <w:rPr>
          <w:rFonts w:ascii="Arial" w:eastAsia="Arial" w:hAnsi="Arial" w:cs="Arial"/>
          <w:bCs/>
          <w:iCs/>
          <w:sz w:val="22"/>
          <w:szCs w:val="22"/>
        </w:rPr>
      </w:pPr>
      <w:r w:rsidRPr="0013233C">
        <w:rPr>
          <w:rFonts w:ascii="Arial" w:eastAsia="Arial" w:hAnsi="Arial" w:cs="Arial"/>
          <w:b/>
          <w:bCs/>
          <w:sz w:val="22"/>
          <w:szCs w:val="22"/>
        </w:rPr>
        <w:t xml:space="preserve">DECRETO DISTRITAL 714 DE 1996, </w:t>
      </w:r>
      <w:r w:rsidRPr="0013233C">
        <w:rPr>
          <w:rFonts w:ascii="Arial" w:eastAsia="Arial" w:hAnsi="Arial" w:cs="Arial"/>
          <w:bCs/>
          <w:iCs/>
          <w:sz w:val="22"/>
          <w:szCs w:val="22"/>
        </w:rPr>
        <w:t>Por el cual se compilan el Acuerdo </w:t>
      </w:r>
      <w:hyperlink r:id="rId14" w:history="1">
        <w:r w:rsidRPr="0013233C">
          <w:rPr>
            <w:rStyle w:val="Hipervnculo"/>
            <w:rFonts w:ascii="Arial" w:eastAsia="Arial" w:hAnsi="Arial" w:cs="Arial"/>
            <w:bCs/>
            <w:iCs/>
            <w:color w:val="auto"/>
            <w:sz w:val="22"/>
            <w:szCs w:val="22"/>
            <w:u w:val="none"/>
          </w:rPr>
          <w:t>24</w:t>
        </w:r>
      </w:hyperlink>
      <w:r w:rsidRPr="0013233C">
        <w:rPr>
          <w:rFonts w:ascii="Arial" w:eastAsia="Arial" w:hAnsi="Arial" w:cs="Arial"/>
          <w:bCs/>
          <w:iCs/>
          <w:sz w:val="22"/>
          <w:szCs w:val="22"/>
        </w:rPr>
        <w:t> de 1995 y Acuerdo </w:t>
      </w:r>
      <w:hyperlink r:id="rId15" w:history="1">
        <w:r w:rsidRPr="0013233C">
          <w:rPr>
            <w:rStyle w:val="Hipervnculo"/>
            <w:rFonts w:ascii="Arial" w:eastAsia="Arial" w:hAnsi="Arial" w:cs="Arial"/>
            <w:bCs/>
            <w:iCs/>
            <w:color w:val="auto"/>
            <w:sz w:val="22"/>
            <w:szCs w:val="22"/>
            <w:u w:val="none"/>
          </w:rPr>
          <w:t>20</w:t>
        </w:r>
      </w:hyperlink>
      <w:r w:rsidRPr="0013233C">
        <w:rPr>
          <w:rFonts w:ascii="Arial" w:eastAsia="Arial" w:hAnsi="Arial" w:cs="Arial"/>
          <w:bCs/>
          <w:iCs/>
          <w:sz w:val="22"/>
          <w:szCs w:val="22"/>
        </w:rPr>
        <w:t> de 1996 que conforman el Estatuto Orgánico del Presupuesto Distrital:</w:t>
      </w:r>
    </w:p>
    <w:p w14:paraId="58957E26" w14:textId="7A1554CA" w:rsidR="002A098C" w:rsidRPr="0013233C" w:rsidRDefault="002A098C" w:rsidP="006B5508">
      <w:pPr>
        <w:jc w:val="both"/>
        <w:rPr>
          <w:rFonts w:ascii="Arial" w:eastAsia="Arial" w:hAnsi="Arial" w:cs="Arial"/>
          <w:bCs/>
          <w:iCs/>
          <w:sz w:val="22"/>
          <w:szCs w:val="22"/>
        </w:rPr>
      </w:pPr>
    </w:p>
    <w:p w14:paraId="1F62B32F" w14:textId="5B856429" w:rsidR="002A098C" w:rsidRPr="0013233C" w:rsidRDefault="00DE231A" w:rsidP="006B5508">
      <w:pPr>
        <w:ind w:left="720"/>
        <w:jc w:val="both"/>
        <w:rPr>
          <w:rFonts w:ascii="Arial" w:eastAsia="Arial" w:hAnsi="Arial" w:cs="Arial"/>
          <w:bCs/>
          <w:iCs/>
          <w:sz w:val="22"/>
          <w:szCs w:val="22"/>
        </w:rPr>
      </w:pPr>
      <w:r w:rsidRPr="0013233C">
        <w:rPr>
          <w:rFonts w:ascii="Arial" w:eastAsia="Arial" w:hAnsi="Arial" w:cs="Arial"/>
          <w:bCs/>
          <w:iCs/>
          <w:sz w:val="22"/>
          <w:szCs w:val="22"/>
        </w:rPr>
        <w:t xml:space="preserve">(…) </w:t>
      </w:r>
    </w:p>
    <w:p w14:paraId="27605EB9" w14:textId="371EB347" w:rsidR="00DE231A" w:rsidRPr="0013233C" w:rsidRDefault="00DE231A" w:rsidP="006B5508">
      <w:pPr>
        <w:ind w:left="720"/>
        <w:jc w:val="both"/>
        <w:rPr>
          <w:rFonts w:ascii="Arial" w:eastAsia="Arial" w:hAnsi="Arial" w:cs="Arial"/>
          <w:bCs/>
          <w:iCs/>
          <w:sz w:val="22"/>
          <w:szCs w:val="22"/>
        </w:rPr>
      </w:pPr>
    </w:p>
    <w:p w14:paraId="5A56FE3C" w14:textId="6D9F5928" w:rsidR="00DE231A" w:rsidRPr="0013233C" w:rsidRDefault="00422AA4" w:rsidP="006B5508">
      <w:pPr>
        <w:ind w:left="720"/>
        <w:jc w:val="both"/>
        <w:rPr>
          <w:rFonts w:ascii="Arial" w:eastAsia="Arial" w:hAnsi="Arial" w:cs="Arial"/>
          <w:bCs/>
          <w:sz w:val="22"/>
          <w:szCs w:val="22"/>
        </w:rPr>
      </w:pPr>
      <w:r w:rsidRPr="0013233C">
        <w:rPr>
          <w:rFonts w:ascii="Arial" w:eastAsia="Arial" w:hAnsi="Arial" w:cs="Arial"/>
          <w:b/>
          <w:bCs/>
          <w:sz w:val="22"/>
          <w:szCs w:val="22"/>
        </w:rPr>
        <w:t>Artículo</w:t>
      </w:r>
      <w:r w:rsidR="00DE231A" w:rsidRPr="0013233C">
        <w:rPr>
          <w:rFonts w:ascii="Arial" w:eastAsia="Arial" w:hAnsi="Arial" w:cs="Arial"/>
          <w:b/>
          <w:bCs/>
          <w:sz w:val="22"/>
          <w:szCs w:val="22"/>
        </w:rPr>
        <w:t xml:space="preserve"> 52º.- De las Disponibilidades Presupuestales. </w:t>
      </w:r>
      <w:r w:rsidR="00DE231A" w:rsidRPr="0013233C">
        <w:rPr>
          <w:rFonts w:ascii="Arial" w:eastAsia="Arial" w:hAnsi="Arial" w:cs="Arial"/>
          <w:bCs/>
          <w:sz w:val="22"/>
          <w:szCs w:val="22"/>
        </w:rPr>
        <w:t>Todos los actos administrativos que afecten las apropiaciones presupuestales deberán contar con certificados de disponibilidad previos que garanticen la existencia de apropiación suficiente para atender estos gastos.</w:t>
      </w:r>
    </w:p>
    <w:p w14:paraId="5664329D" w14:textId="77777777" w:rsidR="00DE231A" w:rsidRPr="0013233C" w:rsidRDefault="00DE231A" w:rsidP="006B5508">
      <w:pPr>
        <w:ind w:left="720"/>
        <w:jc w:val="both"/>
        <w:rPr>
          <w:rFonts w:ascii="Arial" w:eastAsia="Arial" w:hAnsi="Arial" w:cs="Arial"/>
          <w:bCs/>
          <w:sz w:val="22"/>
          <w:szCs w:val="22"/>
        </w:rPr>
      </w:pPr>
    </w:p>
    <w:p w14:paraId="5CF6A3AD" w14:textId="1CA843D9" w:rsidR="00DE231A" w:rsidRPr="0013233C" w:rsidRDefault="000B0566" w:rsidP="006B5508">
      <w:pPr>
        <w:ind w:left="720"/>
        <w:jc w:val="both"/>
        <w:rPr>
          <w:rFonts w:ascii="Arial" w:eastAsia="Arial" w:hAnsi="Arial" w:cs="Arial"/>
          <w:bCs/>
          <w:sz w:val="22"/>
          <w:szCs w:val="22"/>
        </w:rPr>
      </w:pPr>
      <w:r w:rsidRPr="0013233C">
        <w:rPr>
          <w:rFonts w:ascii="Arial" w:eastAsia="Arial" w:hAnsi="Arial" w:cs="Arial"/>
          <w:bCs/>
          <w:sz w:val="22"/>
          <w:szCs w:val="22"/>
        </w:rPr>
        <w:t>Igualmente,</w:t>
      </w:r>
      <w:r w:rsidR="00DE231A" w:rsidRPr="0013233C">
        <w:rPr>
          <w:rFonts w:ascii="Arial" w:eastAsia="Arial" w:hAnsi="Arial" w:cs="Arial"/>
          <w:bCs/>
          <w:sz w:val="22"/>
          <w:szCs w:val="22"/>
        </w:rPr>
        <w:t xml:space="preserve"> estos compromisos deberán contar con registro presupuestal para que los recursos con él financiados no sean desviados a ningún otro fin. En este registro se deberá indicar claramente el valor y el plazo de las prestaciones a las que haya lugar. Esta operación es un requisito de perfeccionamiento a estos actos administrativos.</w:t>
      </w:r>
    </w:p>
    <w:p w14:paraId="7CF1FA3D" w14:textId="77777777" w:rsidR="00DE231A" w:rsidRPr="0013233C" w:rsidRDefault="00DE231A" w:rsidP="006B5508">
      <w:pPr>
        <w:ind w:left="720"/>
        <w:jc w:val="both"/>
        <w:rPr>
          <w:rFonts w:ascii="Arial" w:eastAsia="Arial" w:hAnsi="Arial" w:cs="Arial"/>
          <w:bCs/>
          <w:sz w:val="22"/>
          <w:szCs w:val="22"/>
        </w:rPr>
      </w:pPr>
    </w:p>
    <w:p w14:paraId="6A19E08E" w14:textId="77777777" w:rsidR="00DE231A" w:rsidRPr="0013233C" w:rsidRDefault="00DE231A" w:rsidP="006B5508">
      <w:pPr>
        <w:ind w:left="720"/>
        <w:jc w:val="both"/>
        <w:rPr>
          <w:rFonts w:ascii="Arial" w:eastAsia="Arial" w:hAnsi="Arial" w:cs="Arial"/>
          <w:bCs/>
          <w:sz w:val="22"/>
          <w:szCs w:val="22"/>
        </w:rPr>
      </w:pPr>
      <w:r w:rsidRPr="0013233C">
        <w:rPr>
          <w:rFonts w:ascii="Arial" w:eastAsia="Arial" w:hAnsi="Arial" w:cs="Arial"/>
          <w:bCs/>
          <w:sz w:val="22"/>
          <w:szCs w:val="22"/>
        </w:rPr>
        <w:t>En consecuencia, ninguna autoridad podrá contraer obligaciones sobre apropiaciones inexistentes o en exceso del saldo disponible o sin la autorización previa del Consejo Distrital de Política Económica y Fiscal -CONFIS- o por quien éste delegue, para comprometer vigencias futuras y la adquisición de compromisos con cargo a los recursos de crédito autorizado.</w:t>
      </w:r>
    </w:p>
    <w:p w14:paraId="7DC8A516" w14:textId="77777777" w:rsidR="00DE231A" w:rsidRPr="0013233C" w:rsidRDefault="00DE231A" w:rsidP="006B5508">
      <w:pPr>
        <w:ind w:left="720"/>
        <w:jc w:val="both"/>
        <w:rPr>
          <w:rFonts w:ascii="Arial" w:eastAsia="Arial" w:hAnsi="Arial" w:cs="Arial"/>
          <w:bCs/>
          <w:sz w:val="22"/>
          <w:szCs w:val="22"/>
        </w:rPr>
      </w:pPr>
    </w:p>
    <w:p w14:paraId="157246B7" w14:textId="77777777" w:rsidR="00DE231A" w:rsidRPr="0013233C" w:rsidRDefault="00DE231A" w:rsidP="006B5508">
      <w:pPr>
        <w:ind w:left="720"/>
        <w:jc w:val="both"/>
        <w:rPr>
          <w:rFonts w:ascii="Arial" w:eastAsia="Arial" w:hAnsi="Arial" w:cs="Arial"/>
          <w:bCs/>
          <w:sz w:val="22"/>
          <w:szCs w:val="22"/>
        </w:rPr>
      </w:pPr>
      <w:r w:rsidRPr="0013233C">
        <w:rPr>
          <w:rFonts w:ascii="Arial" w:eastAsia="Arial" w:hAnsi="Arial" w:cs="Arial"/>
          <w:bCs/>
          <w:sz w:val="22"/>
          <w:szCs w:val="22"/>
        </w:rPr>
        <w:t>Para las modificaciones a las plantas de personal y las asignaciones salariales de las entidades que conforman el Presupuesto Anual del Distrito Capital que impliquen incremento en los costos actuales, será requisito esencial y previo la obtención de un certificado de viabilidad presupuestal expedido por la Dirección Distrital de Presupuesto, en que se garantice la posibilidad de atender estas modificaciones.</w:t>
      </w:r>
    </w:p>
    <w:p w14:paraId="5C0F888F" w14:textId="77777777" w:rsidR="00DE231A" w:rsidRPr="0013233C" w:rsidRDefault="00DE231A" w:rsidP="006B5508">
      <w:pPr>
        <w:ind w:left="720"/>
        <w:jc w:val="both"/>
        <w:rPr>
          <w:rFonts w:ascii="Arial" w:eastAsia="Arial" w:hAnsi="Arial" w:cs="Arial"/>
          <w:bCs/>
          <w:sz w:val="22"/>
          <w:szCs w:val="22"/>
        </w:rPr>
      </w:pPr>
    </w:p>
    <w:p w14:paraId="2FD07CFE" w14:textId="681053DE" w:rsidR="00DE231A" w:rsidRPr="0013233C" w:rsidRDefault="00DE231A" w:rsidP="006B5508">
      <w:pPr>
        <w:ind w:left="720"/>
        <w:jc w:val="both"/>
        <w:rPr>
          <w:rFonts w:ascii="Arial" w:eastAsia="Arial" w:hAnsi="Arial" w:cs="Arial"/>
          <w:bCs/>
          <w:sz w:val="22"/>
          <w:szCs w:val="22"/>
        </w:rPr>
      </w:pPr>
      <w:r w:rsidRPr="0013233C">
        <w:rPr>
          <w:rFonts w:ascii="Arial" w:eastAsia="Arial" w:hAnsi="Arial" w:cs="Arial"/>
          <w:bCs/>
          <w:sz w:val="22"/>
          <w:szCs w:val="22"/>
        </w:rPr>
        <w:t xml:space="preserve">Cualquier compromiso que se adquiera con violación de estos preceptos creará responsabilidad personal y pecuniaria a cargo de quien asuma estas obligaciones. (Acuerdo 24 de </w:t>
      </w:r>
      <w:r w:rsidR="000B0566" w:rsidRPr="0013233C">
        <w:rPr>
          <w:rFonts w:ascii="Arial" w:eastAsia="Arial" w:hAnsi="Arial" w:cs="Arial"/>
          <w:bCs/>
          <w:sz w:val="22"/>
          <w:szCs w:val="22"/>
        </w:rPr>
        <w:t>1995,</w:t>
      </w:r>
      <w:r w:rsidRPr="0013233C">
        <w:rPr>
          <w:rFonts w:ascii="Arial" w:eastAsia="Arial" w:hAnsi="Arial" w:cs="Arial"/>
          <w:bCs/>
          <w:sz w:val="22"/>
          <w:szCs w:val="22"/>
        </w:rPr>
        <w:t xml:space="preserve"> art. 47º)</w:t>
      </w:r>
    </w:p>
    <w:p w14:paraId="034B0CED" w14:textId="77777777" w:rsidR="002A098C" w:rsidRPr="0013233C" w:rsidRDefault="002A098C" w:rsidP="006B5508">
      <w:pPr>
        <w:jc w:val="both"/>
        <w:rPr>
          <w:rFonts w:ascii="Arial" w:eastAsia="Arial" w:hAnsi="Arial" w:cs="Arial"/>
          <w:b/>
          <w:bCs/>
          <w:sz w:val="22"/>
          <w:szCs w:val="22"/>
        </w:rPr>
      </w:pPr>
    </w:p>
    <w:p w14:paraId="12FE5E15" w14:textId="77777777" w:rsidR="002A098C" w:rsidRPr="0013233C" w:rsidRDefault="002A098C" w:rsidP="006B5508">
      <w:pPr>
        <w:jc w:val="both"/>
        <w:rPr>
          <w:rFonts w:ascii="Arial" w:eastAsia="Arial" w:hAnsi="Arial" w:cs="Arial"/>
          <w:b/>
          <w:bCs/>
          <w:sz w:val="22"/>
          <w:szCs w:val="22"/>
        </w:rPr>
      </w:pPr>
    </w:p>
    <w:p w14:paraId="01BB84A8" w14:textId="713B8230" w:rsidR="004C3DEC" w:rsidRPr="0013233C" w:rsidRDefault="004C3DEC" w:rsidP="006B5508">
      <w:pPr>
        <w:jc w:val="both"/>
        <w:rPr>
          <w:rFonts w:ascii="Arial" w:eastAsia="Arial" w:hAnsi="Arial" w:cs="Arial"/>
          <w:bCs/>
          <w:iCs/>
          <w:sz w:val="22"/>
          <w:szCs w:val="22"/>
        </w:rPr>
      </w:pPr>
      <w:r w:rsidRPr="0013233C">
        <w:rPr>
          <w:rFonts w:ascii="Arial" w:eastAsia="Arial" w:hAnsi="Arial" w:cs="Arial"/>
          <w:b/>
          <w:bCs/>
          <w:sz w:val="22"/>
          <w:szCs w:val="22"/>
        </w:rPr>
        <w:t>DECRETO DISTRITAL 372 DE 2010</w:t>
      </w:r>
      <w:r w:rsidR="008A0263" w:rsidRPr="0013233C">
        <w:rPr>
          <w:rFonts w:ascii="Arial" w:eastAsia="Arial" w:hAnsi="Arial" w:cs="Arial"/>
          <w:b/>
          <w:bCs/>
          <w:sz w:val="22"/>
          <w:szCs w:val="22"/>
        </w:rPr>
        <w:t xml:space="preserve">, </w:t>
      </w:r>
      <w:r w:rsidR="008A0263" w:rsidRPr="0013233C">
        <w:rPr>
          <w:rFonts w:ascii="Arial" w:eastAsia="Arial" w:hAnsi="Arial" w:cs="Arial"/>
          <w:bCs/>
          <w:iCs/>
          <w:sz w:val="22"/>
          <w:szCs w:val="22"/>
        </w:rPr>
        <w:t>Por el cual se reglamenta el proceso presupuestal de los Fondos de Desarrollo Local - F.D.L.</w:t>
      </w:r>
    </w:p>
    <w:p w14:paraId="6CA867C5" w14:textId="13A1E934" w:rsidR="008A0263" w:rsidRPr="0013233C" w:rsidRDefault="008A0263" w:rsidP="006B5508">
      <w:pPr>
        <w:jc w:val="both"/>
        <w:rPr>
          <w:rFonts w:ascii="Arial" w:eastAsia="Arial" w:hAnsi="Arial" w:cs="Arial"/>
          <w:bCs/>
          <w:iCs/>
          <w:sz w:val="22"/>
          <w:szCs w:val="22"/>
        </w:rPr>
      </w:pPr>
    </w:p>
    <w:p w14:paraId="457C3473" w14:textId="4DAE2BA9" w:rsidR="008A0263" w:rsidRPr="0013233C" w:rsidRDefault="008A0263" w:rsidP="006B5508">
      <w:pPr>
        <w:jc w:val="both"/>
        <w:rPr>
          <w:rFonts w:ascii="Arial" w:eastAsia="Arial" w:hAnsi="Arial" w:cs="Arial"/>
          <w:b/>
          <w:bCs/>
          <w:sz w:val="22"/>
          <w:szCs w:val="22"/>
        </w:rPr>
      </w:pPr>
      <w:r w:rsidRPr="0013233C">
        <w:rPr>
          <w:rFonts w:ascii="Arial" w:eastAsia="Arial" w:hAnsi="Arial" w:cs="Arial"/>
          <w:bCs/>
          <w:iCs/>
          <w:sz w:val="22"/>
          <w:szCs w:val="22"/>
        </w:rPr>
        <w:t>(…)</w:t>
      </w:r>
    </w:p>
    <w:p w14:paraId="66F5C84D" w14:textId="7E1231F2" w:rsidR="008A0263" w:rsidRPr="0013233C" w:rsidRDefault="008A0263" w:rsidP="006B5508">
      <w:pPr>
        <w:jc w:val="both"/>
        <w:rPr>
          <w:rFonts w:ascii="Arial" w:eastAsia="Arial" w:hAnsi="Arial" w:cs="Arial"/>
          <w:b/>
          <w:bCs/>
          <w:sz w:val="22"/>
          <w:szCs w:val="22"/>
        </w:rPr>
      </w:pPr>
    </w:p>
    <w:p w14:paraId="02A1C86A" w14:textId="4CB7DD44" w:rsidR="008A0263" w:rsidRPr="0013233C" w:rsidRDefault="00422AA4" w:rsidP="006B5508">
      <w:pPr>
        <w:ind w:left="720"/>
        <w:jc w:val="both"/>
        <w:rPr>
          <w:rFonts w:ascii="Arial" w:eastAsia="Arial" w:hAnsi="Arial" w:cs="Arial"/>
          <w:b/>
          <w:sz w:val="22"/>
          <w:szCs w:val="22"/>
        </w:rPr>
      </w:pPr>
      <w:r w:rsidRPr="0013233C">
        <w:rPr>
          <w:rFonts w:ascii="Arial" w:eastAsia="Arial" w:hAnsi="Arial" w:cs="Arial"/>
          <w:b/>
          <w:sz w:val="22"/>
          <w:szCs w:val="22"/>
        </w:rPr>
        <w:t>Artículo</w:t>
      </w:r>
      <w:r w:rsidR="008A0263" w:rsidRPr="0013233C">
        <w:rPr>
          <w:rFonts w:ascii="Arial" w:eastAsia="Arial" w:hAnsi="Arial" w:cs="Arial"/>
          <w:b/>
          <w:sz w:val="22"/>
          <w:szCs w:val="22"/>
        </w:rPr>
        <w:t xml:space="preserve"> 28°. Obligaciones por Pagar</w:t>
      </w:r>
    </w:p>
    <w:p w14:paraId="13922A6E" w14:textId="77777777" w:rsidR="008A0263" w:rsidRPr="0013233C" w:rsidRDefault="008A0263" w:rsidP="006B5508">
      <w:pPr>
        <w:ind w:left="720"/>
        <w:jc w:val="both"/>
        <w:rPr>
          <w:rFonts w:ascii="Arial" w:eastAsia="Arial" w:hAnsi="Arial" w:cs="Arial"/>
          <w:b/>
          <w:sz w:val="22"/>
          <w:szCs w:val="22"/>
        </w:rPr>
      </w:pPr>
    </w:p>
    <w:p w14:paraId="69727FF9" w14:textId="77777777" w:rsidR="008A0263" w:rsidRPr="0013233C" w:rsidRDefault="008A0263" w:rsidP="006B5508">
      <w:pPr>
        <w:ind w:left="720"/>
        <w:jc w:val="both"/>
        <w:rPr>
          <w:rFonts w:ascii="Arial" w:eastAsia="Arial" w:hAnsi="Arial" w:cs="Arial"/>
          <w:sz w:val="22"/>
          <w:szCs w:val="22"/>
        </w:rPr>
      </w:pPr>
      <w:r w:rsidRPr="0013233C">
        <w:rPr>
          <w:rFonts w:ascii="Arial" w:eastAsia="Arial" w:hAnsi="Arial" w:cs="Arial"/>
          <w:sz w:val="22"/>
          <w:szCs w:val="22"/>
        </w:rPr>
        <w:t>Los gastos causados y debidamente registrados con cargo a los presupuestos de los F.D.L. que no se paguen en la vigencia respectiva deberán incluirse en el presupuesto del año siguiente como obligaciones por pagar. Toda Obligación por Pagar que no sea incluida en el presupuesto deberá ser financiada con cargo al proyecto o rubro que le dio origen, o en el evento en que cambiaran los proyectos incluidos en el POAI, a un proyecto o rubro con el que guarde afinidad.</w:t>
      </w:r>
    </w:p>
    <w:p w14:paraId="68A46545" w14:textId="77777777" w:rsidR="008A0263" w:rsidRPr="0013233C" w:rsidRDefault="008A0263" w:rsidP="006B5508">
      <w:pPr>
        <w:ind w:left="720"/>
        <w:jc w:val="both"/>
        <w:rPr>
          <w:rFonts w:ascii="Arial" w:eastAsia="Arial" w:hAnsi="Arial" w:cs="Arial"/>
          <w:sz w:val="22"/>
          <w:szCs w:val="22"/>
        </w:rPr>
      </w:pPr>
    </w:p>
    <w:p w14:paraId="05CE04E7" w14:textId="77777777" w:rsidR="008A0263" w:rsidRPr="0013233C" w:rsidRDefault="008A0263" w:rsidP="006B5508">
      <w:pPr>
        <w:ind w:left="720"/>
        <w:jc w:val="both"/>
        <w:rPr>
          <w:rFonts w:ascii="Arial" w:eastAsia="Arial" w:hAnsi="Arial" w:cs="Arial"/>
          <w:sz w:val="22"/>
          <w:szCs w:val="22"/>
        </w:rPr>
      </w:pPr>
      <w:r w:rsidRPr="0013233C">
        <w:rPr>
          <w:rFonts w:ascii="Arial" w:eastAsia="Arial" w:hAnsi="Arial" w:cs="Arial"/>
          <w:sz w:val="22"/>
          <w:szCs w:val="22"/>
        </w:rPr>
        <w:t>En ningún caso los saldos liberados de Obligaciones por Pagar servirán para efectuar adiciones a otras obligaciones o pagos o para financiar nuevos compromisos. Toda adición a contratos de años anteriores se atenderá con cargo al presupuesto de la vigencia fiscal en curso.</w:t>
      </w:r>
    </w:p>
    <w:p w14:paraId="4B9EB68F" w14:textId="77777777" w:rsidR="008A0263" w:rsidRPr="0013233C" w:rsidRDefault="008A0263" w:rsidP="006B5508">
      <w:pPr>
        <w:ind w:left="720"/>
        <w:jc w:val="both"/>
        <w:rPr>
          <w:rFonts w:ascii="Arial" w:eastAsia="Arial" w:hAnsi="Arial" w:cs="Arial"/>
          <w:b/>
          <w:sz w:val="22"/>
          <w:szCs w:val="22"/>
        </w:rPr>
      </w:pPr>
    </w:p>
    <w:p w14:paraId="22CE5EF9" w14:textId="3181E2D6" w:rsidR="008A0263" w:rsidRPr="0013233C" w:rsidRDefault="00422AA4" w:rsidP="006B5508">
      <w:pPr>
        <w:ind w:left="720"/>
        <w:jc w:val="both"/>
        <w:rPr>
          <w:rFonts w:ascii="Arial" w:eastAsia="Arial" w:hAnsi="Arial" w:cs="Arial"/>
          <w:b/>
          <w:sz w:val="22"/>
          <w:szCs w:val="22"/>
        </w:rPr>
      </w:pPr>
      <w:r w:rsidRPr="0013233C">
        <w:rPr>
          <w:rFonts w:ascii="Arial" w:eastAsia="Arial" w:hAnsi="Arial" w:cs="Arial"/>
          <w:b/>
          <w:sz w:val="22"/>
          <w:szCs w:val="22"/>
        </w:rPr>
        <w:t>Artículo</w:t>
      </w:r>
      <w:r w:rsidR="008A0263" w:rsidRPr="0013233C">
        <w:rPr>
          <w:rFonts w:ascii="Arial" w:eastAsia="Arial" w:hAnsi="Arial" w:cs="Arial"/>
          <w:b/>
          <w:sz w:val="22"/>
          <w:szCs w:val="22"/>
        </w:rPr>
        <w:t xml:space="preserve"> 29°. Programa Anual Mensualizado de Caja -PAC-</w:t>
      </w:r>
    </w:p>
    <w:p w14:paraId="621E33D2" w14:textId="77777777" w:rsidR="008A0263" w:rsidRPr="0013233C" w:rsidRDefault="008A0263" w:rsidP="006B5508">
      <w:pPr>
        <w:ind w:left="720"/>
        <w:jc w:val="both"/>
        <w:rPr>
          <w:rFonts w:ascii="Arial" w:eastAsia="Arial" w:hAnsi="Arial" w:cs="Arial"/>
          <w:b/>
          <w:sz w:val="22"/>
          <w:szCs w:val="22"/>
        </w:rPr>
      </w:pPr>
    </w:p>
    <w:p w14:paraId="3BB6F66D" w14:textId="77777777" w:rsidR="008A0263" w:rsidRPr="0013233C" w:rsidRDefault="008A0263" w:rsidP="006B5508">
      <w:pPr>
        <w:ind w:left="720"/>
        <w:jc w:val="both"/>
        <w:rPr>
          <w:rFonts w:ascii="Arial" w:eastAsia="Arial" w:hAnsi="Arial" w:cs="Arial"/>
          <w:sz w:val="22"/>
          <w:szCs w:val="22"/>
        </w:rPr>
      </w:pPr>
      <w:r w:rsidRPr="0013233C">
        <w:rPr>
          <w:rFonts w:ascii="Arial" w:eastAsia="Arial" w:hAnsi="Arial" w:cs="Arial"/>
          <w:sz w:val="22"/>
          <w:szCs w:val="22"/>
        </w:rPr>
        <w:t>Los giros para atender los gastos del Presupuesto de los F.D.L. se harán a través del Programa Anual Mensualizado de Caja PAC. Este es el instrumento mediante el cual se define el monto máximo mensual de fondos disponibles con el fin de cumplir los compromisos que no pueden exceder del total del PAC de la vigencia, de acuerdo con el modelo establecido por la Secretaría Distrital de Hacienda - Dirección Distrital de Tesorería.</w:t>
      </w:r>
    </w:p>
    <w:p w14:paraId="75188617" w14:textId="77777777" w:rsidR="008A0263" w:rsidRPr="0013233C" w:rsidRDefault="008A0263" w:rsidP="006B5508">
      <w:pPr>
        <w:ind w:left="720"/>
        <w:jc w:val="both"/>
        <w:rPr>
          <w:rFonts w:ascii="Arial" w:eastAsia="Arial" w:hAnsi="Arial" w:cs="Arial"/>
          <w:sz w:val="22"/>
          <w:szCs w:val="22"/>
        </w:rPr>
      </w:pPr>
    </w:p>
    <w:p w14:paraId="48DD2008" w14:textId="1C663B96" w:rsidR="008A0263" w:rsidRPr="0013233C" w:rsidRDefault="008A0263" w:rsidP="006B5508">
      <w:pPr>
        <w:ind w:left="720"/>
        <w:jc w:val="both"/>
        <w:rPr>
          <w:rFonts w:ascii="Arial" w:eastAsia="Arial" w:hAnsi="Arial" w:cs="Arial"/>
          <w:sz w:val="22"/>
          <w:szCs w:val="22"/>
        </w:rPr>
      </w:pPr>
      <w:r w:rsidRPr="0013233C">
        <w:rPr>
          <w:rFonts w:ascii="Arial" w:eastAsia="Arial" w:hAnsi="Arial" w:cs="Arial"/>
          <w:sz w:val="22"/>
          <w:szCs w:val="22"/>
        </w:rPr>
        <w:t>La Secretaría Distrital de Hacienda - Dirección Distrital de Tesorería llevará una programación de PAC independiente para cada Fondo de Desarrollo Local y establecerá los procedimientos pertinentes para su cabal ejecución.</w:t>
      </w:r>
    </w:p>
    <w:p w14:paraId="6622C086" w14:textId="2334ACDF" w:rsidR="008A0263" w:rsidRPr="0013233C" w:rsidRDefault="008A0263" w:rsidP="006B5508">
      <w:pPr>
        <w:ind w:left="720"/>
        <w:jc w:val="both"/>
        <w:rPr>
          <w:rFonts w:ascii="Arial" w:eastAsia="Arial" w:hAnsi="Arial" w:cs="Arial"/>
          <w:b/>
          <w:sz w:val="22"/>
          <w:szCs w:val="22"/>
        </w:rPr>
      </w:pPr>
    </w:p>
    <w:p w14:paraId="5E40CAEA" w14:textId="024B436C" w:rsidR="008A0263" w:rsidRPr="0013233C" w:rsidRDefault="00422AA4" w:rsidP="006B5508">
      <w:pPr>
        <w:ind w:left="720"/>
        <w:jc w:val="both"/>
        <w:rPr>
          <w:rFonts w:ascii="Arial" w:eastAsia="Arial" w:hAnsi="Arial" w:cs="Arial"/>
          <w:b/>
          <w:sz w:val="22"/>
          <w:szCs w:val="22"/>
        </w:rPr>
      </w:pPr>
      <w:r w:rsidRPr="0013233C">
        <w:rPr>
          <w:rFonts w:ascii="Arial" w:eastAsia="Arial" w:hAnsi="Arial" w:cs="Arial"/>
          <w:b/>
          <w:sz w:val="22"/>
          <w:szCs w:val="22"/>
        </w:rPr>
        <w:t>Artículo</w:t>
      </w:r>
      <w:r w:rsidR="008A0263" w:rsidRPr="0013233C">
        <w:rPr>
          <w:rFonts w:ascii="Arial" w:eastAsia="Arial" w:hAnsi="Arial" w:cs="Arial"/>
          <w:b/>
          <w:sz w:val="22"/>
          <w:szCs w:val="22"/>
        </w:rPr>
        <w:t xml:space="preserve"> 30°. Registro de Pagos</w:t>
      </w:r>
    </w:p>
    <w:p w14:paraId="76B564F9" w14:textId="77777777" w:rsidR="008A0263" w:rsidRPr="0013233C" w:rsidRDefault="008A0263" w:rsidP="006B5508">
      <w:pPr>
        <w:ind w:left="720"/>
        <w:jc w:val="both"/>
        <w:rPr>
          <w:rFonts w:ascii="Arial" w:eastAsia="Arial" w:hAnsi="Arial" w:cs="Arial"/>
          <w:b/>
          <w:sz w:val="22"/>
          <w:szCs w:val="22"/>
        </w:rPr>
      </w:pPr>
    </w:p>
    <w:p w14:paraId="1B131A69" w14:textId="235A525D" w:rsidR="008A0263" w:rsidRPr="0013233C" w:rsidRDefault="008A0263" w:rsidP="006B5508">
      <w:pPr>
        <w:ind w:left="720"/>
        <w:jc w:val="both"/>
        <w:rPr>
          <w:rFonts w:ascii="Arial" w:eastAsia="Arial" w:hAnsi="Arial" w:cs="Arial"/>
          <w:sz w:val="22"/>
          <w:szCs w:val="22"/>
        </w:rPr>
      </w:pPr>
      <w:r w:rsidRPr="0013233C">
        <w:rPr>
          <w:rFonts w:ascii="Arial" w:eastAsia="Arial" w:hAnsi="Arial" w:cs="Arial"/>
          <w:sz w:val="22"/>
          <w:szCs w:val="22"/>
        </w:rPr>
        <w:t>La Secretaría Distrital de Hacienda - Dirección Distrital de Contabilidad llevará el registro contable de las transferencias de la Administración Central ordenadas para cada F.D.L., así como el registro de los pagos efectuados con cargo a cada uno de ellos.</w:t>
      </w:r>
    </w:p>
    <w:p w14:paraId="5B166F35" w14:textId="33C2F865" w:rsidR="008A0263" w:rsidRPr="0013233C" w:rsidRDefault="008A0263" w:rsidP="006B5508">
      <w:pPr>
        <w:ind w:left="720"/>
        <w:jc w:val="both"/>
        <w:rPr>
          <w:rFonts w:ascii="Arial" w:eastAsia="Arial" w:hAnsi="Arial" w:cs="Arial"/>
          <w:sz w:val="22"/>
          <w:szCs w:val="22"/>
        </w:rPr>
      </w:pPr>
    </w:p>
    <w:p w14:paraId="59BFF702" w14:textId="02E7B0DD" w:rsidR="008A0263" w:rsidRPr="0013233C" w:rsidRDefault="008A0263" w:rsidP="006B5508">
      <w:pPr>
        <w:ind w:left="720"/>
        <w:jc w:val="both"/>
        <w:rPr>
          <w:rFonts w:ascii="Arial" w:eastAsia="Arial" w:hAnsi="Arial" w:cs="Arial"/>
          <w:sz w:val="22"/>
          <w:szCs w:val="22"/>
        </w:rPr>
      </w:pPr>
      <w:r w:rsidRPr="0013233C">
        <w:rPr>
          <w:rFonts w:ascii="Arial" w:eastAsia="Arial" w:hAnsi="Arial" w:cs="Arial"/>
          <w:sz w:val="22"/>
          <w:szCs w:val="22"/>
        </w:rPr>
        <w:t>(…)</w:t>
      </w:r>
    </w:p>
    <w:p w14:paraId="698B70C4" w14:textId="77777777" w:rsidR="008A0263" w:rsidRPr="0013233C" w:rsidRDefault="008A0263" w:rsidP="006B5508">
      <w:pPr>
        <w:ind w:left="720"/>
        <w:jc w:val="both"/>
        <w:rPr>
          <w:rFonts w:ascii="Arial" w:eastAsia="Arial" w:hAnsi="Arial" w:cs="Arial"/>
          <w:sz w:val="22"/>
          <w:szCs w:val="22"/>
        </w:rPr>
      </w:pPr>
    </w:p>
    <w:p w14:paraId="32FF054B" w14:textId="29A125F5" w:rsidR="008A0263" w:rsidRPr="0013233C" w:rsidRDefault="0013233C" w:rsidP="006B5508">
      <w:pPr>
        <w:ind w:left="720"/>
        <w:jc w:val="both"/>
        <w:rPr>
          <w:rFonts w:ascii="Arial" w:eastAsia="Arial" w:hAnsi="Arial" w:cs="Arial"/>
          <w:b/>
          <w:bCs/>
          <w:sz w:val="22"/>
          <w:szCs w:val="22"/>
        </w:rPr>
      </w:pPr>
      <w:r w:rsidRPr="0013233C">
        <w:rPr>
          <w:rFonts w:ascii="Arial" w:eastAsia="Arial" w:hAnsi="Arial" w:cs="Arial"/>
          <w:b/>
          <w:bCs/>
          <w:sz w:val="22"/>
          <w:szCs w:val="22"/>
        </w:rPr>
        <w:t>Artículo</w:t>
      </w:r>
      <w:r w:rsidR="008A0263" w:rsidRPr="0013233C">
        <w:rPr>
          <w:rFonts w:ascii="Arial" w:eastAsia="Arial" w:hAnsi="Arial" w:cs="Arial"/>
          <w:b/>
          <w:bCs/>
          <w:sz w:val="22"/>
          <w:szCs w:val="22"/>
        </w:rPr>
        <w:t> 41°. Imputación de Decisiones Judiciales</w:t>
      </w:r>
    </w:p>
    <w:p w14:paraId="7C7ACC6F" w14:textId="77777777" w:rsidR="008A0263" w:rsidRPr="0013233C" w:rsidRDefault="008A0263" w:rsidP="006B5508">
      <w:pPr>
        <w:ind w:left="720"/>
        <w:jc w:val="both"/>
        <w:rPr>
          <w:rFonts w:ascii="Arial" w:eastAsia="Arial" w:hAnsi="Arial" w:cs="Arial"/>
          <w:sz w:val="22"/>
          <w:szCs w:val="22"/>
        </w:rPr>
      </w:pPr>
      <w:r w:rsidRPr="0013233C">
        <w:rPr>
          <w:rFonts w:ascii="Arial" w:eastAsia="Arial" w:hAnsi="Arial" w:cs="Arial"/>
          <w:sz w:val="22"/>
          <w:szCs w:val="22"/>
        </w:rPr>
        <w:t>El pago de providencias judiciales, sentencias, conciliaciones, transacciones, indemnizaciones, laudos arbitrales y tutelas, se atenderá con los recursos presupuestales de cada Localidad. Para tal efecto, se podrán hacer los traslados presupuestales requeridos de acuerdo con las disposiciones legales vigentes. Así mismo, se podrán pagar los gastos accesorios o administrativos que se generen como consecuencia del fallo de las providencias judiciales, sentencias, conciliaciones, transacciones, indemnizaciones, laudos arbitrales y tutelas.</w:t>
      </w:r>
    </w:p>
    <w:p w14:paraId="0E01B563" w14:textId="77777777" w:rsidR="008A0263" w:rsidRPr="0013233C" w:rsidRDefault="008A0263" w:rsidP="006B5508">
      <w:pPr>
        <w:ind w:left="720"/>
        <w:jc w:val="both"/>
        <w:rPr>
          <w:rFonts w:ascii="Arial" w:eastAsia="Arial" w:hAnsi="Arial" w:cs="Arial"/>
          <w:sz w:val="22"/>
          <w:szCs w:val="22"/>
        </w:rPr>
      </w:pPr>
      <w:r w:rsidRPr="0013233C">
        <w:rPr>
          <w:rFonts w:ascii="Arial" w:eastAsia="Arial" w:hAnsi="Arial" w:cs="Arial"/>
          <w:sz w:val="22"/>
          <w:szCs w:val="22"/>
        </w:rPr>
        <w:t>Los gastos que se originen dentro de los procesos correspondientes serán atendidos con cargo a los rubros definidos en el Plan de Cuentas. Cuando las decisiones anteriormente señaladas se originen como consecuencia de la ejecución de proyectos de inversión, la disponibilidad presupuestal se expedirá por el mismo rubro o proyecto que originó la obligación principal. Las demás decisiones judiciales se atenderán por el rubro Sentencias Judiciales de Gastos Generales.</w:t>
      </w:r>
    </w:p>
    <w:p w14:paraId="41CF5724" w14:textId="77777777" w:rsidR="008A0263" w:rsidRPr="0013233C" w:rsidRDefault="008A0263" w:rsidP="006B5508">
      <w:pPr>
        <w:ind w:left="720"/>
        <w:jc w:val="both"/>
        <w:rPr>
          <w:rFonts w:ascii="Arial" w:eastAsia="Arial" w:hAnsi="Arial" w:cs="Arial"/>
          <w:sz w:val="22"/>
          <w:szCs w:val="22"/>
        </w:rPr>
      </w:pPr>
    </w:p>
    <w:p w14:paraId="563070A3" w14:textId="77777777" w:rsidR="004C3DEC" w:rsidRPr="0013233C" w:rsidRDefault="004C3DEC" w:rsidP="006B5508">
      <w:pPr>
        <w:jc w:val="both"/>
        <w:rPr>
          <w:rFonts w:ascii="Arial" w:eastAsia="Arial" w:hAnsi="Arial" w:cs="Arial"/>
          <w:b/>
          <w:sz w:val="22"/>
          <w:szCs w:val="22"/>
        </w:rPr>
      </w:pPr>
    </w:p>
    <w:p w14:paraId="01A75913" w14:textId="230C4127" w:rsidR="009B1D3A" w:rsidRPr="0013233C" w:rsidRDefault="005304C1" w:rsidP="006B5508">
      <w:pPr>
        <w:jc w:val="both"/>
        <w:rPr>
          <w:rFonts w:ascii="Arial" w:hAnsi="Arial" w:cs="Arial"/>
          <w:b/>
          <w:sz w:val="22"/>
          <w:szCs w:val="22"/>
          <w:shd w:val="clear" w:color="auto" w:fill="FFFFFF"/>
        </w:rPr>
      </w:pPr>
      <w:r w:rsidRPr="0013233C">
        <w:rPr>
          <w:rFonts w:ascii="Arial" w:hAnsi="Arial" w:cs="Arial"/>
          <w:b/>
          <w:sz w:val="22"/>
          <w:szCs w:val="22"/>
          <w:shd w:val="clear" w:color="auto" w:fill="FFFFFF"/>
        </w:rPr>
        <w:t xml:space="preserve">DECRETO DISTRITAL </w:t>
      </w:r>
      <w:r w:rsidR="0013233C" w:rsidRPr="0013233C">
        <w:rPr>
          <w:rFonts w:ascii="Arial" w:hAnsi="Arial" w:cs="Arial"/>
          <w:b/>
          <w:sz w:val="22"/>
          <w:szCs w:val="22"/>
          <w:shd w:val="clear" w:color="auto" w:fill="FFFFFF"/>
        </w:rPr>
        <w:t>411 DE</w:t>
      </w:r>
      <w:r w:rsidR="009B1D3A" w:rsidRPr="0013233C">
        <w:rPr>
          <w:rFonts w:ascii="Arial" w:hAnsi="Arial" w:cs="Arial"/>
          <w:b/>
          <w:sz w:val="22"/>
          <w:szCs w:val="22"/>
          <w:shd w:val="clear" w:color="auto" w:fill="FFFFFF"/>
        </w:rPr>
        <w:t xml:space="preserve"> 2016</w:t>
      </w:r>
      <w:r w:rsidRPr="0013233C">
        <w:rPr>
          <w:rFonts w:ascii="Arial" w:hAnsi="Arial" w:cs="Arial"/>
          <w:b/>
          <w:sz w:val="22"/>
          <w:szCs w:val="22"/>
          <w:shd w:val="clear" w:color="auto" w:fill="FFFFFF"/>
        </w:rPr>
        <w:t xml:space="preserve">, </w:t>
      </w:r>
      <w:r w:rsidRPr="0013233C">
        <w:rPr>
          <w:rFonts w:ascii="Arial" w:hAnsi="Arial" w:cs="Arial"/>
          <w:sz w:val="22"/>
          <w:szCs w:val="22"/>
          <w:shd w:val="clear" w:color="auto" w:fill="FFFFFF"/>
        </w:rPr>
        <w:t>Por medio del cual se modifica la Estructura Organizacional de la Secretaría Distrital de Gobierno</w:t>
      </w:r>
    </w:p>
    <w:p w14:paraId="24BF211E" w14:textId="53664494" w:rsidR="005304C1" w:rsidRPr="0013233C" w:rsidRDefault="005304C1" w:rsidP="006B5508">
      <w:pPr>
        <w:jc w:val="both"/>
        <w:rPr>
          <w:rFonts w:ascii="Arial" w:hAnsi="Arial" w:cs="Arial"/>
          <w:b/>
          <w:sz w:val="22"/>
          <w:szCs w:val="22"/>
          <w:shd w:val="clear" w:color="auto" w:fill="FFFFFF"/>
        </w:rPr>
      </w:pPr>
    </w:p>
    <w:p w14:paraId="35D7FF34" w14:textId="4DB76BBC" w:rsidR="005304C1" w:rsidRPr="0013233C" w:rsidRDefault="0013233C" w:rsidP="006B5508">
      <w:pPr>
        <w:ind w:left="720"/>
        <w:jc w:val="both"/>
        <w:rPr>
          <w:rFonts w:ascii="Arial" w:eastAsia="Arial" w:hAnsi="Arial" w:cs="Arial"/>
          <w:sz w:val="22"/>
          <w:szCs w:val="22"/>
        </w:rPr>
      </w:pPr>
      <w:r w:rsidRPr="0013233C">
        <w:rPr>
          <w:rFonts w:ascii="Arial" w:eastAsia="Arial" w:hAnsi="Arial" w:cs="Arial"/>
          <w:b/>
          <w:bCs/>
          <w:sz w:val="22"/>
          <w:szCs w:val="22"/>
        </w:rPr>
        <w:t xml:space="preserve">Artículo </w:t>
      </w:r>
      <w:r w:rsidR="005304C1" w:rsidRPr="0013233C">
        <w:rPr>
          <w:rFonts w:ascii="Arial" w:eastAsia="Arial" w:hAnsi="Arial" w:cs="Arial"/>
          <w:b/>
          <w:bCs/>
          <w:sz w:val="22"/>
          <w:szCs w:val="22"/>
        </w:rPr>
        <w:t>2°.</w:t>
      </w:r>
      <w:r w:rsidR="005304C1" w:rsidRPr="0013233C">
        <w:rPr>
          <w:rFonts w:ascii="Arial" w:eastAsia="Arial" w:hAnsi="Arial" w:cs="Arial"/>
          <w:b/>
          <w:sz w:val="22"/>
          <w:szCs w:val="22"/>
        </w:rPr>
        <w:t> </w:t>
      </w:r>
      <w:hyperlink r:id="rId16" w:anchor="1" w:history="1">
        <w:r w:rsidR="005304C1" w:rsidRPr="0013233C">
          <w:rPr>
            <w:rStyle w:val="Hipervnculo"/>
            <w:rFonts w:ascii="Arial" w:eastAsia="Arial" w:hAnsi="Arial" w:cs="Arial"/>
            <w:b/>
            <w:color w:val="auto"/>
            <w:sz w:val="22"/>
            <w:szCs w:val="22"/>
          </w:rPr>
          <w:t>Modificado por el art. 1, Decreto Distrital 169 de 2023.</w:t>
        </w:r>
      </w:hyperlink>
      <w:r w:rsidR="005304C1" w:rsidRPr="0013233C">
        <w:rPr>
          <w:rFonts w:ascii="Arial" w:eastAsia="Arial" w:hAnsi="Arial" w:cs="Arial"/>
          <w:b/>
          <w:sz w:val="22"/>
          <w:szCs w:val="22"/>
        </w:rPr>
        <w:t> </w:t>
      </w:r>
      <w:r w:rsidR="005304C1" w:rsidRPr="0013233C">
        <w:rPr>
          <w:rFonts w:ascii="Arial" w:eastAsia="Arial" w:hAnsi="Arial" w:cs="Arial"/>
          <w:b/>
          <w:i/>
          <w:iCs/>
          <w:sz w:val="22"/>
          <w:szCs w:val="22"/>
        </w:rPr>
        <w:t>&lt;El nuevo texto es el siguiente&gt;</w:t>
      </w:r>
      <w:r w:rsidR="005304C1" w:rsidRPr="0013233C">
        <w:rPr>
          <w:rFonts w:ascii="Arial" w:eastAsia="Arial" w:hAnsi="Arial" w:cs="Arial"/>
          <w:b/>
          <w:sz w:val="22"/>
          <w:szCs w:val="22"/>
        </w:rPr>
        <w:t> </w:t>
      </w:r>
      <w:r w:rsidR="005304C1" w:rsidRPr="0013233C">
        <w:rPr>
          <w:rFonts w:ascii="Arial" w:eastAsia="Arial" w:hAnsi="Arial" w:cs="Arial"/>
          <w:b/>
          <w:bCs/>
          <w:i/>
          <w:iCs/>
          <w:sz w:val="22"/>
          <w:szCs w:val="22"/>
        </w:rPr>
        <w:t>ESTRUCTURA ORGANIZACIONAL.</w:t>
      </w:r>
      <w:r w:rsidR="005304C1" w:rsidRPr="0013233C">
        <w:rPr>
          <w:rFonts w:ascii="Arial" w:eastAsia="Arial" w:hAnsi="Arial" w:cs="Arial"/>
          <w:b/>
          <w:i/>
          <w:iCs/>
          <w:sz w:val="22"/>
          <w:szCs w:val="22"/>
        </w:rPr>
        <w:t> </w:t>
      </w:r>
      <w:r w:rsidR="005304C1" w:rsidRPr="0013233C">
        <w:rPr>
          <w:rFonts w:ascii="Arial" w:eastAsia="Arial" w:hAnsi="Arial" w:cs="Arial"/>
          <w:sz w:val="22"/>
          <w:szCs w:val="22"/>
        </w:rPr>
        <w:t>Para el desarrollo de su objeto, la Secretaría Distrital de Gobierno tendrá la siguiente estructura organizacional:</w:t>
      </w:r>
    </w:p>
    <w:p w14:paraId="04F8F1C0" w14:textId="73C8DE70" w:rsidR="0013233C" w:rsidRPr="0013233C" w:rsidRDefault="005304C1" w:rsidP="0013233C">
      <w:pPr>
        <w:ind w:left="720"/>
        <w:jc w:val="both"/>
        <w:rPr>
          <w:rFonts w:ascii="Arial" w:eastAsia="Arial" w:hAnsi="Arial" w:cs="Arial"/>
          <w:sz w:val="22"/>
          <w:szCs w:val="22"/>
        </w:rPr>
      </w:pPr>
      <w:r w:rsidRPr="0013233C">
        <w:rPr>
          <w:rFonts w:ascii="Arial" w:eastAsia="Arial" w:hAnsi="Arial" w:cs="Arial"/>
          <w:sz w:val="22"/>
          <w:szCs w:val="22"/>
        </w:rPr>
        <w:t> </w:t>
      </w:r>
    </w:p>
    <w:p w14:paraId="1F458A5A" w14:textId="77777777" w:rsidR="0013233C" w:rsidRPr="0013233C" w:rsidRDefault="0013233C" w:rsidP="006B5508">
      <w:pPr>
        <w:ind w:left="720"/>
        <w:jc w:val="both"/>
        <w:rPr>
          <w:rFonts w:ascii="Arial" w:eastAsia="Arial" w:hAnsi="Arial" w:cs="Arial"/>
          <w:sz w:val="22"/>
          <w:szCs w:val="22"/>
        </w:rPr>
      </w:pPr>
    </w:p>
    <w:p w14:paraId="7C9653BF" w14:textId="77777777" w:rsidR="005304C1" w:rsidRPr="0013233C" w:rsidRDefault="005304C1" w:rsidP="006B5508">
      <w:pPr>
        <w:ind w:left="720"/>
        <w:jc w:val="both"/>
        <w:rPr>
          <w:rFonts w:ascii="Arial" w:eastAsia="Arial" w:hAnsi="Arial" w:cs="Arial"/>
          <w:sz w:val="22"/>
          <w:szCs w:val="22"/>
        </w:rPr>
      </w:pPr>
      <w:r w:rsidRPr="0013233C">
        <w:rPr>
          <w:rFonts w:ascii="Arial" w:eastAsia="Arial" w:hAnsi="Arial" w:cs="Arial"/>
          <w:bCs/>
          <w:sz w:val="22"/>
          <w:szCs w:val="22"/>
        </w:rPr>
        <w:t>1.</w:t>
      </w:r>
      <w:r w:rsidRPr="0013233C">
        <w:rPr>
          <w:rFonts w:ascii="Arial" w:eastAsia="Arial" w:hAnsi="Arial" w:cs="Arial"/>
          <w:sz w:val="22"/>
          <w:szCs w:val="22"/>
        </w:rPr>
        <w:t> </w:t>
      </w:r>
      <w:r w:rsidRPr="0013233C">
        <w:rPr>
          <w:rFonts w:ascii="Arial" w:eastAsia="Arial" w:hAnsi="Arial" w:cs="Arial"/>
          <w:bCs/>
          <w:sz w:val="22"/>
          <w:szCs w:val="22"/>
        </w:rPr>
        <w:t>DESPACHO DEL SECRETARIO DE GOBIERNO</w:t>
      </w:r>
    </w:p>
    <w:p w14:paraId="2E17BF3F" w14:textId="77777777" w:rsidR="005304C1" w:rsidRPr="0013233C" w:rsidRDefault="005304C1" w:rsidP="006B5508">
      <w:pPr>
        <w:ind w:left="720"/>
        <w:jc w:val="both"/>
        <w:rPr>
          <w:rFonts w:ascii="Arial" w:eastAsia="Arial" w:hAnsi="Arial" w:cs="Arial"/>
          <w:sz w:val="22"/>
          <w:szCs w:val="22"/>
        </w:rPr>
      </w:pPr>
      <w:r w:rsidRPr="0013233C">
        <w:rPr>
          <w:rFonts w:ascii="Arial" w:eastAsia="Arial" w:hAnsi="Arial" w:cs="Arial"/>
          <w:bCs/>
          <w:sz w:val="22"/>
          <w:szCs w:val="22"/>
        </w:rPr>
        <w:t> </w:t>
      </w:r>
    </w:p>
    <w:p w14:paraId="6010AD46" w14:textId="5EFF74E3" w:rsidR="005304C1" w:rsidRPr="0013233C" w:rsidRDefault="005304C1" w:rsidP="006B5508">
      <w:pPr>
        <w:pStyle w:val="Prrafodelista"/>
        <w:numPr>
          <w:ilvl w:val="1"/>
          <w:numId w:val="12"/>
        </w:numPr>
        <w:ind w:left="1800"/>
        <w:jc w:val="both"/>
        <w:rPr>
          <w:rFonts w:eastAsia="Arial" w:cs="Arial"/>
          <w:color w:val="auto"/>
          <w:sz w:val="22"/>
          <w:szCs w:val="22"/>
        </w:rPr>
      </w:pPr>
      <w:r w:rsidRPr="0013233C">
        <w:rPr>
          <w:rFonts w:eastAsia="Arial" w:cs="Arial"/>
          <w:color w:val="auto"/>
          <w:sz w:val="22"/>
          <w:szCs w:val="22"/>
        </w:rPr>
        <w:t>Alcaldías Locales</w:t>
      </w:r>
      <w:r w:rsidR="004C3DEC" w:rsidRPr="0013233C">
        <w:rPr>
          <w:rFonts w:eastAsia="Arial" w:cs="Arial"/>
          <w:color w:val="auto"/>
          <w:sz w:val="22"/>
          <w:szCs w:val="22"/>
        </w:rPr>
        <w:t xml:space="preserve"> (…)</w:t>
      </w:r>
    </w:p>
    <w:p w14:paraId="507A1949" w14:textId="3A0FC3C5" w:rsidR="009B1D3A" w:rsidRPr="0013233C" w:rsidRDefault="009B1D3A" w:rsidP="00B072FF">
      <w:pPr>
        <w:jc w:val="both"/>
        <w:rPr>
          <w:rFonts w:ascii="Arial" w:eastAsia="Arial" w:hAnsi="Arial" w:cs="Arial"/>
          <w:sz w:val="22"/>
          <w:szCs w:val="22"/>
        </w:rPr>
      </w:pPr>
    </w:p>
    <w:p w14:paraId="57B71DCB" w14:textId="09523AE4" w:rsidR="009B1D3A" w:rsidRPr="0013233C" w:rsidRDefault="009B1D3A" w:rsidP="006B5508">
      <w:pPr>
        <w:jc w:val="both"/>
        <w:rPr>
          <w:rFonts w:ascii="Arial" w:eastAsia="Arial" w:hAnsi="Arial" w:cs="Arial"/>
          <w:bCs/>
          <w:iCs/>
          <w:sz w:val="22"/>
          <w:szCs w:val="22"/>
          <w:lang w:val="es-ES"/>
        </w:rPr>
      </w:pPr>
      <w:r w:rsidRPr="0013233C">
        <w:rPr>
          <w:rFonts w:ascii="Arial" w:eastAsia="Arial" w:hAnsi="Arial" w:cs="Arial"/>
          <w:b/>
          <w:bCs/>
          <w:sz w:val="22"/>
          <w:szCs w:val="22"/>
          <w:lang w:val="es-ES"/>
        </w:rPr>
        <w:t>DECRETO</w:t>
      </w:r>
      <w:r w:rsidR="005304C1" w:rsidRPr="0013233C">
        <w:rPr>
          <w:rFonts w:ascii="Arial" w:eastAsia="Arial" w:hAnsi="Arial" w:cs="Arial"/>
          <w:b/>
          <w:bCs/>
          <w:sz w:val="22"/>
          <w:szCs w:val="22"/>
          <w:lang w:val="es-ES"/>
        </w:rPr>
        <w:t xml:space="preserve"> DISTRITAL</w:t>
      </w:r>
      <w:r w:rsidRPr="0013233C">
        <w:rPr>
          <w:rFonts w:ascii="Arial" w:eastAsia="Arial" w:hAnsi="Arial" w:cs="Arial"/>
          <w:b/>
          <w:bCs/>
          <w:sz w:val="22"/>
          <w:szCs w:val="22"/>
          <w:lang w:val="es-ES"/>
        </w:rPr>
        <w:t xml:space="preserve"> 768 DE 2019</w:t>
      </w:r>
      <w:r w:rsidRPr="0013233C">
        <w:rPr>
          <w:rFonts w:ascii="Arial" w:eastAsia="Arial" w:hAnsi="Arial" w:cs="Arial"/>
          <w:sz w:val="22"/>
          <w:szCs w:val="22"/>
        </w:rPr>
        <w:t xml:space="preserve">, </w:t>
      </w:r>
      <w:r w:rsidRPr="0013233C">
        <w:rPr>
          <w:rFonts w:ascii="Arial" w:eastAsia="Arial" w:hAnsi="Arial" w:cs="Arial"/>
          <w:bCs/>
          <w:iCs/>
          <w:sz w:val="22"/>
          <w:szCs w:val="22"/>
          <w:lang w:val="es-ES"/>
        </w:rPr>
        <w:t>Por medio del cual se reglamenta el Acuerdo </w:t>
      </w:r>
      <w:hyperlink r:id="rId17" w:history="1">
        <w:r w:rsidRPr="0013233C">
          <w:rPr>
            <w:rStyle w:val="Hipervnculo"/>
            <w:rFonts w:ascii="Arial" w:eastAsia="Arial" w:hAnsi="Arial" w:cs="Arial"/>
            <w:iCs/>
            <w:color w:val="auto"/>
            <w:sz w:val="22"/>
            <w:szCs w:val="22"/>
            <w:lang w:val="es-ES"/>
          </w:rPr>
          <w:t>740</w:t>
        </w:r>
      </w:hyperlink>
      <w:r w:rsidRPr="0013233C">
        <w:rPr>
          <w:rFonts w:ascii="Arial" w:eastAsia="Arial" w:hAnsi="Arial" w:cs="Arial"/>
          <w:bCs/>
          <w:iCs/>
          <w:sz w:val="22"/>
          <w:szCs w:val="22"/>
          <w:lang w:val="es-ES"/>
        </w:rPr>
        <w:t> de 2019 y se dictan otras disposiciones:</w:t>
      </w:r>
    </w:p>
    <w:p w14:paraId="5D960F08" w14:textId="60CB8B82" w:rsidR="009B1D3A" w:rsidRPr="0013233C" w:rsidRDefault="009B1D3A" w:rsidP="006B5508">
      <w:pPr>
        <w:ind w:left="720"/>
        <w:jc w:val="both"/>
        <w:rPr>
          <w:rFonts w:ascii="Arial" w:eastAsia="Arial" w:hAnsi="Arial" w:cs="Arial"/>
          <w:bCs/>
          <w:iCs/>
          <w:sz w:val="22"/>
          <w:szCs w:val="22"/>
          <w:lang w:val="es-ES"/>
        </w:rPr>
      </w:pPr>
    </w:p>
    <w:p w14:paraId="7BB3DFC0" w14:textId="0FCBB43F" w:rsidR="009B1D3A" w:rsidRPr="0013233C" w:rsidRDefault="00D8329E" w:rsidP="006B5508">
      <w:pPr>
        <w:jc w:val="both"/>
        <w:rPr>
          <w:rFonts w:ascii="Arial" w:eastAsia="Arial" w:hAnsi="Arial" w:cs="Arial"/>
          <w:sz w:val="22"/>
          <w:szCs w:val="22"/>
        </w:rPr>
      </w:pPr>
      <w:r w:rsidRPr="0013233C">
        <w:rPr>
          <w:rFonts w:ascii="Arial" w:eastAsia="Arial" w:hAnsi="Arial" w:cs="Arial"/>
          <w:sz w:val="22"/>
          <w:szCs w:val="22"/>
        </w:rPr>
        <w:t>(…)</w:t>
      </w:r>
    </w:p>
    <w:p w14:paraId="55B87607" w14:textId="77777777" w:rsidR="00D8329E" w:rsidRPr="0013233C" w:rsidRDefault="00D8329E" w:rsidP="006B5508">
      <w:pPr>
        <w:jc w:val="both"/>
        <w:rPr>
          <w:rFonts w:ascii="Arial" w:eastAsia="Arial" w:hAnsi="Arial" w:cs="Arial"/>
          <w:sz w:val="22"/>
          <w:szCs w:val="22"/>
        </w:rPr>
      </w:pPr>
    </w:p>
    <w:p w14:paraId="028539C1" w14:textId="77777777" w:rsidR="00D8329E" w:rsidRPr="0013233C" w:rsidRDefault="00D8329E" w:rsidP="006B5508">
      <w:pPr>
        <w:ind w:left="720"/>
        <w:jc w:val="both"/>
        <w:rPr>
          <w:rFonts w:ascii="Arial" w:eastAsia="Arial" w:hAnsi="Arial" w:cs="Arial"/>
          <w:sz w:val="22"/>
          <w:szCs w:val="22"/>
        </w:rPr>
      </w:pPr>
      <w:r w:rsidRPr="0013233C">
        <w:rPr>
          <w:rFonts w:ascii="Arial" w:eastAsia="Arial" w:hAnsi="Arial" w:cs="Arial"/>
          <w:b/>
          <w:bCs/>
          <w:sz w:val="22"/>
          <w:szCs w:val="22"/>
          <w:lang w:val="es-ES"/>
        </w:rPr>
        <w:t>Artículo</w:t>
      </w:r>
      <w:r w:rsidRPr="0013233C">
        <w:rPr>
          <w:rFonts w:ascii="Arial" w:eastAsia="Arial" w:hAnsi="Arial" w:cs="Arial"/>
          <w:sz w:val="22"/>
          <w:szCs w:val="22"/>
        </w:rPr>
        <w:t> </w:t>
      </w:r>
      <w:r w:rsidRPr="0013233C">
        <w:rPr>
          <w:rFonts w:ascii="Arial" w:eastAsia="Arial" w:hAnsi="Arial" w:cs="Arial"/>
          <w:b/>
          <w:bCs/>
          <w:sz w:val="22"/>
          <w:szCs w:val="22"/>
          <w:lang w:val="es-ES"/>
        </w:rPr>
        <w:t>4. </w:t>
      </w:r>
      <w:hyperlink r:id="rId18" w:anchor="1" w:history="1">
        <w:r w:rsidRPr="0013233C">
          <w:rPr>
            <w:rStyle w:val="Hipervnculo"/>
            <w:rFonts w:ascii="Arial" w:eastAsia="Arial" w:hAnsi="Arial" w:cs="Arial"/>
            <w:color w:val="auto"/>
            <w:sz w:val="22"/>
            <w:szCs w:val="22"/>
            <w:lang w:val="es-ES"/>
          </w:rPr>
          <w:t>Modificado por el art. 1, Decreto 168 de 2021.</w:t>
        </w:r>
      </w:hyperlink>
      <w:r w:rsidRPr="0013233C">
        <w:rPr>
          <w:rFonts w:ascii="Arial" w:eastAsia="Arial" w:hAnsi="Arial" w:cs="Arial"/>
          <w:b/>
          <w:bCs/>
          <w:sz w:val="22"/>
          <w:szCs w:val="22"/>
          <w:lang w:val="es-ES"/>
        </w:rPr>
        <w:t> </w:t>
      </w:r>
      <w:r w:rsidRPr="0013233C">
        <w:rPr>
          <w:rFonts w:ascii="Arial" w:eastAsia="Arial" w:hAnsi="Arial" w:cs="Arial"/>
          <w:i/>
          <w:iCs/>
          <w:sz w:val="22"/>
          <w:szCs w:val="22"/>
          <w:lang w:val="es-ES"/>
        </w:rPr>
        <w:t>&lt;El nuevo texto es el siguiente&gt; </w:t>
      </w:r>
      <w:r w:rsidRPr="0013233C">
        <w:rPr>
          <w:rFonts w:ascii="Arial" w:eastAsia="Arial" w:hAnsi="Arial" w:cs="Arial"/>
          <w:b/>
          <w:bCs/>
          <w:sz w:val="22"/>
          <w:szCs w:val="22"/>
        </w:rPr>
        <w:t>Funcionamiento.</w:t>
      </w:r>
      <w:r w:rsidRPr="0013233C">
        <w:rPr>
          <w:rFonts w:ascii="Arial" w:eastAsia="Arial" w:hAnsi="Arial" w:cs="Arial"/>
          <w:sz w:val="22"/>
          <w:szCs w:val="22"/>
        </w:rPr>
        <w:t> La Alcaldía Local es la responsable de formular, ejecutar y hacer seguimiento a los proyectos de inversión en el marco del Plan de Desarrollo Local con cargo a los recursos del respectivo Fondo de Desarrollo Local, a través de la elaboración y ejecución del presupuesto, la gestión de proyectos de inversión y procesos contractuales, así como la ordenación de gastos y pagos, y la administración de bienes de propiedad del Fondo.</w:t>
      </w:r>
    </w:p>
    <w:p w14:paraId="4C0564B3" w14:textId="77777777" w:rsidR="00D8329E" w:rsidRPr="0013233C" w:rsidRDefault="00D8329E" w:rsidP="006B5508">
      <w:pPr>
        <w:ind w:left="720"/>
        <w:jc w:val="both"/>
        <w:rPr>
          <w:rFonts w:ascii="Arial" w:eastAsia="Arial" w:hAnsi="Arial" w:cs="Arial"/>
          <w:sz w:val="22"/>
          <w:szCs w:val="22"/>
        </w:rPr>
      </w:pPr>
      <w:r w:rsidRPr="0013233C">
        <w:rPr>
          <w:rFonts w:ascii="Arial" w:eastAsia="Arial" w:hAnsi="Arial" w:cs="Arial"/>
          <w:i/>
          <w:iCs/>
          <w:sz w:val="22"/>
          <w:szCs w:val="22"/>
        </w:rPr>
        <w:t> </w:t>
      </w:r>
    </w:p>
    <w:p w14:paraId="05F4FABA" w14:textId="77777777" w:rsidR="00D8329E" w:rsidRPr="0013233C" w:rsidRDefault="00D8329E" w:rsidP="006B5508">
      <w:pPr>
        <w:ind w:left="720"/>
        <w:jc w:val="both"/>
        <w:rPr>
          <w:rFonts w:ascii="Arial" w:eastAsia="Arial" w:hAnsi="Arial" w:cs="Arial"/>
          <w:sz w:val="22"/>
          <w:szCs w:val="22"/>
        </w:rPr>
      </w:pPr>
      <w:r w:rsidRPr="0013233C">
        <w:rPr>
          <w:rFonts w:ascii="Arial" w:eastAsia="Arial" w:hAnsi="Arial" w:cs="Arial"/>
          <w:b/>
          <w:bCs/>
          <w:sz w:val="22"/>
          <w:szCs w:val="22"/>
        </w:rPr>
        <w:t>Parágrafo. </w:t>
      </w:r>
      <w:r w:rsidRPr="0013233C">
        <w:rPr>
          <w:rFonts w:ascii="Arial" w:eastAsia="Arial" w:hAnsi="Arial" w:cs="Arial"/>
          <w:sz w:val="22"/>
          <w:szCs w:val="22"/>
        </w:rPr>
        <w:t>El/la Alcalde/sa local será responsable de dar aplicación a los lineamientos establecidos por las secretarías cabezas de sector y por las entidades distritales competentes en la materia, para la formulación, ejecución y seguimiento a los proyectos de inversión.</w:t>
      </w:r>
    </w:p>
    <w:p w14:paraId="12C72D8A" w14:textId="1581AA03" w:rsidR="00D8329E" w:rsidRPr="0013233C" w:rsidRDefault="00D8329E" w:rsidP="006B5508">
      <w:pPr>
        <w:ind w:left="720"/>
        <w:jc w:val="both"/>
        <w:rPr>
          <w:rFonts w:ascii="Arial" w:eastAsia="Arial" w:hAnsi="Arial" w:cs="Arial"/>
          <w:sz w:val="22"/>
          <w:szCs w:val="22"/>
        </w:rPr>
      </w:pPr>
      <w:r w:rsidRPr="0013233C">
        <w:rPr>
          <w:rFonts w:ascii="Arial" w:eastAsia="Arial" w:hAnsi="Arial" w:cs="Arial"/>
          <w:sz w:val="22"/>
          <w:szCs w:val="22"/>
          <w:lang w:val="es-ES"/>
        </w:rPr>
        <w:t> </w:t>
      </w:r>
    </w:p>
    <w:p w14:paraId="7E2ACD56" w14:textId="77777777" w:rsidR="00D8329E" w:rsidRPr="0013233C" w:rsidRDefault="00D8329E" w:rsidP="006B5508">
      <w:pPr>
        <w:ind w:left="720"/>
        <w:jc w:val="both"/>
        <w:rPr>
          <w:rFonts w:ascii="Arial" w:eastAsia="Arial" w:hAnsi="Arial" w:cs="Arial"/>
          <w:sz w:val="22"/>
          <w:szCs w:val="22"/>
        </w:rPr>
      </w:pPr>
      <w:r w:rsidRPr="0013233C">
        <w:rPr>
          <w:rFonts w:ascii="Arial" w:eastAsia="Arial" w:hAnsi="Arial" w:cs="Arial"/>
          <w:b/>
          <w:bCs/>
          <w:sz w:val="22"/>
          <w:szCs w:val="22"/>
          <w:lang w:val="es-ES"/>
        </w:rPr>
        <w:t>Artículo 5. Recursos. </w:t>
      </w:r>
      <w:r w:rsidRPr="0013233C">
        <w:rPr>
          <w:rFonts w:ascii="Arial" w:eastAsia="Arial" w:hAnsi="Arial" w:cs="Arial"/>
          <w:sz w:val="22"/>
          <w:szCs w:val="22"/>
          <w:lang w:val="es-ES"/>
        </w:rPr>
        <w:t>Los Fondos de Desarrollo Local dispondrán de los recursos que le sean asignados de conformidad con lo establecido en el artículo </w:t>
      </w:r>
      <w:hyperlink r:id="rId19" w:anchor="9" w:history="1">
        <w:r w:rsidRPr="0013233C">
          <w:rPr>
            <w:rStyle w:val="Hipervnculo"/>
            <w:rFonts w:ascii="Arial" w:eastAsia="Arial" w:hAnsi="Arial" w:cs="Arial"/>
            <w:sz w:val="22"/>
            <w:szCs w:val="22"/>
            <w:lang w:val="es-ES"/>
          </w:rPr>
          <w:t>9</w:t>
        </w:r>
      </w:hyperlink>
      <w:r w:rsidRPr="0013233C">
        <w:rPr>
          <w:rFonts w:ascii="Arial" w:eastAsia="Arial" w:hAnsi="Arial" w:cs="Arial"/>
          <w:sz w:val="22"/>
          <w:szCs w:val="22"/>
          <w:lang w:val="es-ES"/>
        </w:rPr>
        <w:t> del Acuerdo 740 de 2019.</w:t>
      </w:r>
    </w:p>
    <w:p w14:paraId="4B146403" w14:textId="77777777" w:rsidR="00D8329E" w:rsidRPr="0013233C" w:rsidRDefault="00D8329E" w:rsidP="006B5508">
      <w:pPr>
        <w:ind w:left="720"/>
        <w:jc w:val="both"/>
        <w:rPr>
          <w:rFonts w:ascii="Arial" w:eastAsia="Arial" w:hAnsi="Arial" w:cs="Arial"/>
          <w:sz w:val="22"/>
          <w:szCs w:val="22"/>
        </w:rPr>
      </w:pPr>
      <w:r w:rsidRPr="0013233C">
        <w:rPr>
          <w:rFonts w:ascii="Arial" w:eastAsia="Arial" w:hAnsi="Arial" w:cs="Arial"/>
          <w:sz w:val="22"/>
          <w:szCs w:val="22"/>
          <w:lang w:val="es-ES"/>
        </w:rPr>
        <w:t> </w:t>
      </w:r>
    </w:p>
    <w:p w14:paraId="684DA606" w14:textId="77777777" w:rsidR="00D8329E" w:rsidRPr="0013233C" w:rsidRDefault="00D8329E" w:rsidP="006B5508">
      <w:pPr>
        <w:ind w:left="720"/>
        <w:jc w:val="both"/>
        <w:rPr>
          <w:rFonts w:ascii="Arial" w:eastAsia="Arial" w:hAnsi="Arial" w:cs="Arial"/>
          <w:sz w:val="22"/>
          <w:szCs w:val="22"/>
        </w:rPr>
      </w:pPr>
      <w:r w:rsidRPr="0013233C">
        <w:rPr>
          <w:rFonts w:ascii="Arial" w:eastAsia="Arial" w:hAnsi="Arial" w:cs="Arial"/>
          <w:b/>
          <w:bCs/>
          <w:sz w:val="22"/>
          <w:szCs w:val="22"/>
          <w:lang w:val="es-ES"/>
        </w:rPr>
        <w:t>Parágrafo 1.</w:t>
      </w:r>
      <w:r w:rsidRPr="0013233C">
        <w:rPr>
          <w:rFonts w:ascii="Arial" w:eastAsia="Arial" w:hAnsi="Arial" w:cs="Arial"/>
          <w:sz w:val="22"/>
          <w:szCs w:val="22"/>
          <w:lang w:val="es-ES"/>
        </w:rPr>
        <w:t> Los Fondos de Desarrollo Local atenderán los lineamientos que definan de manera conjunta la Secretaría Distrital de Hacienda y la Secretaría Distrital de Planeación, para realizar de manera oportuna y adecuada la gestión presupuestal dentro del proceso de programación, ejecución, seguimiento y cierre presupuestal.</w:t>
      </w:r>
    </w:p>
    <w:p w14:paraId="05E71358" w14:textId="77777777" w:rsidR="00D8329E" w:rsidRPr="0013233C" w:rsidRDefault="00D8329E" w:rsidP="006B5508">
      <w:pPr>
        <w:ind w:left="720"/>
        <w:jc w:val="both"/>
        <w:rPr>
          <w:rFonts w:ascii="Arial" w:eastAsia="Arial" w:hAnsi="Arial" w:cs="Arial"/>
          <w:sz w:val="22"/>
          <w:szCs w:val="22"/>
        </w:rPr>
      </w:pPr>
      <w:r w:rsidRPr="0013233C">
        <w:rPr>
          <w:rFonts w:ascii="Arial" w:eastAsia="Arial" w:hAnsi="Arial" w:cs="Arial"/>
          <w:sz w:val="22"/>
          <w:szCs w:val="22"/>
          <w:lang w:val="es-ES"/>
        </w:rPr>
        <w:t> </w:t>
      </w:r>
    </w:p>
    <w:p w14:paraId="0CDDBE4F" w14:textId="77777777" w:rsidR="00D8329E" w:rsidRPr="0013233C" w:rsidRDefault="00D8329E" w:rsidP="006B5508">
      <w:pPr>
        <w:ind w:left="720"/>
        <w:jc w:val="both"/>
        <w:rPr>
          <w:rFonts w:ascii="Arial" w:eastAsia="Arial" w:hAnsi="Arial" w:cs="Arial"/>
          <w:sz w:val="22"/>
          <w:szCs w:val="22"/>
        </w:rPr>
      </w:pPr>
      <w:r w:rsidRPr="0013233C">
        <w:rPr>
          <w:rFonts w:ascii="Arial" w:eastAsia="Arial" w:hAnsi="Arial" w:cs="Arial"/>
          <w:b/>
          <w:bCs/>
          <w:sz w:val="22"/>
          <w:szCs w:val="22"/>
          <w:lang w:val="es-ES"/>
        </w:rPr>
        <w:t>Parágrafo 2.</w:t>
      </w:r>
      <w:r w:rsidRPr="0013233C">
        <w:rPr>
          <w:rFonts w:ascii="Arial" w:eastAsia="Arial" w:hAnsi="Arial" w:cs="Arial"/>
          <w:sz w:val="22"/>
          <w:szCs w:val="22"/>
          <w:lang w:val="es-ES"/>
        </w:rPr>
        <w:t> Los Fondos de Desarrollo Local atenderán los lineamientos que establezca la Dirección Distrital de Tesorería para realizar de manera oportuna la proyección, elaboración y programación del Plan Anual Mensualizado de Caja – PAC, de la respectiva vigencia fiscal.</w:t>
      </w:r>
    </w:p>
    <w:p w14:paraId="1EA9AC26" w14:textId="77777777" w:rsidR="00D06FA9" w:rsidRPr="0013233C" w:rsidRDefault="00D06FA9" w:rsidP="006B5508">
      <w:pPr>
        <w:jc w:val="both"/>
        <w:rPr>
          <w:rFonts w:ascii="Arial" w:eastAsia="Arial" w:hAnsi="Arial" w:cs="Arial"/>
          <w:b/>
          <w:bCs/>
          <w:sz w:val="22"/>
          <w:szCs w:val="22"/>
        </w:rPr>
      </w:pPr>
    </w:p>
    <w:p w14:paraId="2FCF5EA9" w14:textId="1DC04EEC" w:rsidR="00D06FA9" w:rsidRPr="0013233C" w:rsidRDefault="00D06FA9" w:rsidP="006B5508">
      <w:pPr>
        <w:jc w:val="both"/>
        <w:rPr>
          <w:rFonts w:ascii="Arial" w:eastAsia="Arial" w:hAnsi="Arial" w:cs="Arial"/>
          <w:sz w:val="22"/>
          <w:szCs w:val="22"/>
        </w:rPr>
      </w:pPr>
      <w:r w:rsidRPr="0013233C">
        <w:rPr>
          <w:rFonts w:ascii="Arial" w:eastAsia="Arial" w:hAnsi="Arial" w:cs="Arial"/>
          <w:b/>
          <w:bCs/>
          <w:sz w:val="22"/>
          <w:szCs w:val="22"/>
        </w:rPr>
        <w:t>DECRETO DISTRITAL 192 DE 2021</w:t>
      </w:r>
      <w:r w:rsidRPr="0013233C">
        <w:rPr>
          <w:rFonts w:ascii="Arial" w:eastAsia="Arial" w:hAnsi="Arial" w:cs="Arial"/>
          <w:sz w:val="22"/>
          <w:szCs w:val="22"/>
        </w:rPr>
        <w:t xml:space="preserve">, </w:t>
      </w:r>
      <w:r w:rsidRPr="0013233C">
        <w:rPr>
          <w:rFonts w:ascii="Arial" w:eastAsia="Arial" w:hAnsi="Arial" w:cs="Arial"/>
          <w:bCs/>
          <w:iCs/>
          <w:sz w:val="22"/>
          <w:szCs w:val="22"/>
        </w:rPr>
        <w:t>Por medio del cual se reglamenta el Estatuto Orgánico del Presupuesto Distrital y se dictan otras disposiciones:</w:t>
      </w:r>
    </w:p>
    <w:p w14:paraId="1956CA4C" w14:textId="77777777" w:rsidR="00D06FA9" w:rsidRPr="0013233C" w:rsidRDefault="00D06FA9" w:rsidP="006B5508">
      <w:pPr>
        <w:jc w:val="both"/>
        <w:rPr>
          <w:rFonts w:ascii="Arial" w:eastAsia="Arial" w:hAnsi="Arial" w:cs="Arial"/>
          <w:sz w:val="22"/>
          <w:szCs w:val="22"/>
        </w:rPr>
      </w:pPr>
    </w:p>
    <w:p w14:paraId="5D81D425" w14:textId="75A084F4" w:rsidR="00D06FA9" w:rsidRPr="0013233C" w:rsidRDefault="00D06FA9" w:rsidP="006B5508">
      <w:pPr>
        <w:jc w:val="both"/>
        <w:rPr>
          <w:rFonts w:ascii="Arial" w:eastAsia="Arial" w:hAnsi="Arial" w:cs="Arial"/>
          <w:sz w:val="22"/>
          <w:szCs w:val="22"/>
        </w:rPr>
      </w:pPr>
    </w:p>
    <w:p w14:paraId="1A33ED3E"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b/>
          <w:bCs/>
          <w:sz w:val="22"/>
          <w:szCs w:val="22"/>
        </w:rPr>
        <w:t>Artículo</w:t>
      </w:r>
      <w:r w:rsidRPr="0013233C">
        <w:rPr>
          <w:rFonts w:ascii="Arial" w:eastAsia="Arial" w:hAnsi="Arial" w:cs="Arial"/>
          <w:sz w:val="22"/>
          <w:szCs w:val="22"/>
        </w:rPr>
        <w:t> </w:t>
      </w:r>
      <w:r w:rsidRPr="0013233C">
        <w:rPr>
          <w:rFonts w:ascii="Arial" w:eastAsia="Arial" w:hAnsi="Arial" w:cs="Arial"/>
          <w:b/>
          <w:bCs/>
          <w:sz w:val="22"/>
          <w:szCs w:val="22"/>
        </w:rPr>
        <w:t>31°. </w:t>
      </w:r>
      <w:hyperlink r:id="rId20" w:anchor="3" w:history="1">
        <w:r w:rsidRPr="0013233C">
          <w:rPr>
            <w:rStyle w:val="Hipervnculo"/>
            <w:rFonts w:ascii="Arial" w:eastAsia="Arial" w:hAnsi="Arial" w:cs="Arial"/>
            <w:color w:val="auto"/>
            <w:sz w:val="22"/>
            <w:szCs w:val="22"/>
          </w:rPr>
          <w:t>Modificado por el art. 3, Decreto Distrital 356 de 2022.</w:t>
        </w:r>
      </w:hyperlink>
      <w:r w:rsidRPr="0013233C">
        <w:rPr>
          <w:rFonts w:ascii="Arial" w:eastAsia="Arial" w:hAnsi="Arial" w:cs="Arial"/>
          <w:sz w:val="22"/>
          <w:szCs w:val="22"/>
        </w:rPr>
        <w:t> </w:t>
      </w:r>
      <w:r w:rsidRPr="0013233C">
        <w:rPr>
          <w:rFonts w:ascii="Arial" w:eastAsia="Arial" w:hAnsi="Arial" w:cs="Arial"/>
          <w:i/>
          <w:iCs/>
          <w:sz w:val="22"/>
          <w:szCs w:val="22"/>
        </w:rPr>
        <w:t>&lt;El nuevo texto es el siguiente&gt; </w:t>
      </w:r>
      <w:r w:rsidRPr="0013233C">
        <w:rPr>
          <w:rFonts w:ascii="Arial" w:eastAsia="Arial" w:hAnsi="Arial" w:cs="Arial"/>
          <w:b/>
          <w:bCs/>
          <w:i/>
          <w:iCs/>
          <w:sz w:val="22"/>
          <w:szCs w:val="22"/>
        </w:rPr>
        <w:t>Pagos y compensaciones.</w:t>
      </w:r>
      <w:r w:rsidRPr="0013233C">
        <w:rPr>
          <w:rFonts w:ascii="Arial" w:eastAsia="Arial" w:hAnsi="Arial" w:cs="Arial"/>
          <w:i/>
          <w:iCs/>
          <w:sz w:val="22"/>
          <w:szCs w:val="22"/>
        </w:rPr>
        <w:t> </w:t>
      </w:r>
      <w:r w:rsidRPr="0013233C">
        <w:rPr>
          <w:rFonts w:ascii="Arial" w:eastAsia="Arial" w:hAnsi="Arial" w:cs="Arial"/>
          <w:sz w:val="22"/>
          <w:szCs w:val="22"/>
        </w:rPr>
        <w:t>El ordenador del gasto con funciones de ordenación del pago, o el ordenador del pago y el responsable del presupuesto de las entidades que conforman el Presupuesto Anual del Distrito Capital y los Fondos de Desarrollo Local, remitirán a la Dirección Distrital de Tesorería los documentos que ordenan pagos (cuentas por pagar), compensaciones, pagos de carácter tributario y pagos de las demás obligaciones que requieran ser procesados a través de la Cuenta Única Distrital.</w:t>
      </w:r>
    </w:p>
    <w:p w14:paraId="5521302D"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 </w:t>
      </w:r>
    </w:p>
    <w:p w14:paraId="75420137"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La Dirección Distrital de Tesorería efectuará la disposición y giro de los recursos, de conformidad con la respectiva orden recibida mediante diligenciamiento y aprobación en el sistema de información que la Secretaría Distrital de Hacienda establezca para el efecto.</w:t>
      </w:r>
    </w:p>
    <w:p w14:paraId="00359724"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 </w:t>
      </w:r>
    </w:p>
    <w:p w14:paraId="22F3F2CF"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Las ordenaciones de giros con las cuales no se ejecute presupuesto, como los giros de recursos recibidos por la Dirección Distrital de Tesorería en administración, giros para constituir inversiones, o giros de recursos de terceros, entre otros, deberán ser suscritas por el representante legal de la entidad o quien éste delegue.</w:t>
      </w:r>
    </w:p>
    <w:p w14:paraId="03B6A18E"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 </w:t>
      </w:r>
    </w:p>
    <w:p w14:paraId="106088D9"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b/>
          <w:bCs/>
          <w:sz w:val="22"/>
          <w:szCs w:val="22"/>
        </w:rPr>
        <w:t>Parágrafo</w:t>
      </w:r>
      <w:r w:rsidRPr="0013233C">
        <w:rPr>
          <w:rFonts w:ascii="Arial" w:eastAsia="Arial" w:hAnsi="Arial" w:cs="Arial"/>
          <w:sz w:val="22"/>
          <w:szCs w:val="22"/>
        </w:rPr>
        <w:t> </w:t>
      </w:r>
      <w:r w:rsidRPr="0013233C">
        <w:rPr>
          <w:rFonts w:ascii="Arial" w:eastAsia="Arial" w:hAnsi="Arial" w:cs="Arial"/>
          <w:b/>
          <w:bCs/>
          <w:sz w:val="22"/>
          <w:szCs w:val="22"/>
        </w:rPr>
        <w:t>1°.</w:t>
      </w:r>
      <w:r w:rsidRPr="0013233C">
        <w:rPr>
          <w:rFonts w:ascii="Arial" w:eastAsia="Arial" w:hAnsi="Arial" w:cs="Arial"/>
          <w:sz w:val="22"/>
          <w:szCs w:val="22"/>
        </w:rPr>
        <w:t> Los servidores públicos que suscriban las órdenes de disposición de recursos de la Cuenta Única Distrital deberán registrar previamente sus firmas en la Dirección Distrital de Tesorería, a través de los mecanismos, formatos y procedimientos que ésta disponga.</w:t>
      </w:r>
    </w:p>
    <w:p w14:paraId="626EB283"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 </w:t>
      </w:r>
    </w:p>
    <w:p w14:paraId="4BC348F2"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En caso de modificación del registro de los servidores públicos, la respectiva entidad o dependencia responsable deberá informarlo y actualizar las firmas correspondientes en la Dirección Distrital de Tesorería, de acuerdo con los procedimientos que esta establezca.</w:t>
      </w:r>
    </w:p>
    <w:p w14:paraId="1DD24156"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 </w:t>
      </w:r>
    </w:p>
    <w:p w14:paraId="2621366B"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b/>
          <w:bCs/>
          <w:sz w:val="22"/>
          <w:szCs w:val="22"/>
        </w:rPr>
        <w:t>Parágrafo</w:t>
      </w:r>
      <w:r w:rsidRPr="0013233C">
        <w:rPr>
          <w:rFonts w:ascii="Arial" w:eastAsia="Arial" w:hAnsi="Arial" w:cs="Arial"/>
          <w:sz w:val="22"/>
          <w:szCs w:val="22"/>
        </w:rPr>
        <w:t> </w:t>
      </w:r>
      <w:r w:rsidRPr="0013233C">
        <w:rPr>
          <w:rFonts w:ascii="Arial" w:eastAsia="Arial" w:hAnsi="Arial" w:cs="Arial"/>
          <w:b/>
          <w:bCs/>
          <w:sz w:val="22"/>
          <w:szCs w:val="22"/>
        </w:rPr>
        <w:t>2°.</w:t>
      </w:r>
      <w:r w:rsidRPr="0013233C">
        <w:rPr>
          <w:rFonts w:ascii="Arial" w:eastAsia="Arial" w:hAnsi="Arial" w:cs="Arial"/>
          <w:sz w:val="22"/>
          <w:szCs w:val="22"/>
        </w:rPr>
        <w:t> La ordenación del gasto implica dos aspectos, asumir el compromiso y ordenar el pago, que serán ejercidos por el jefe de la entidad, o por el servidor público del nivel directivo a quien éste delegue, de manera conjunta o independiente.</w:t>
      </w:r>
    </w:p>
    <w:p w14:paraId="633166DC"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 </w:t>
      </w:r>
    </w:p>
    <w:p w14:paraId="7943E467"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La adquisición de compromisos con efectos presupuestales a nombre de la entidad ejecutora de recursos públicos distritales, deberá llevarse a cabo, de conformidad con las condiciones previstas en el artículo </w:t>
      </w:r>
      <w:hyperlink r:id="rId21" w:anchor="52" w:history="1">
        <w:r w:rsidRPr="0013233C">
          <w:rPr>
            <w:rStyle w:val="Hipervnculo"/>
            <w:rFonts w:ascii="Arial" w:eastAsia="Arial" w:hAnsi="Arial" w:cs="Arial"/>
            <w:color w:val="auto"/>
            <w:sz w:val="22"/>
            <w:szCs w:val="22"/>
          </w:rPr>
          <w:t>52</w:t>
        </w:r>
      </w:hyperlink>
      <w:r w:rsidRPr="0013233C">
        <w:rPr>
          <w:rFonts w:ascii="Arial" w:eastAsia="Arial" w:hAnsi="Arial" w:cs="Arial"/>
          <w:sz w:val="22"/>
          <w:szCs w:val="22"/>
        </w:rPr>
        <w:t> del Estatuto Orgánico del Presupuesto Distrital, Decreto 714 de 1996.</w:t>
      </w:r>
    </w:p>
    <w:p w14:paraId="3C9E457E"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 </w:t>
      </w:r>
    </w:p>
    <w:p w14:paraId="1EDCD934"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La ordenación del pago es la instrucción dirigida a la Dirección Distrital de Tesorería de la Secretaría Distrital de Hacienda que contiene beneficiario, monto, momento y rubro presupuestal o programa que se afecta, para que esta proceda al giro de los recursos.</w:t>
      </w:r>
    </w:p>
    <w:p w14:paraId="20177437" w14:textId="2A1980F3" w:rsidR="00D06FA9" w:rsidRPr="0013233C" w:rsidRDefault="00D06FA9" w:rsidP="006B5508">
      <w:pPr>
        <w:jc w:val="both"/>
        <w:rPr>
          <w:rFonts w:ascii="Arial" w:eastAsia="Arial" w:hAnsi="Arial" w:cs="Arial"/>
          <w:sz w:val="22"/>
          <w:szCs w:val="22"/>
        </w:rPr>
      </w:pPr>
    </w:p>
    <w:p w14:paraId="5FDDF8FE"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b/>
          <w:bCs/>
          <w:sz w:val="22"/>
          <w:szCs w:val="22"/>
        </w:rPr>
        <w:t>Artículo</w:t>
      </w:r>
      <w:r w:rsidRPr="0013233C">
        <w:rPr>
          <w:rFonts w:ascii="Arial" w:eastAsia="Arial" w:hAnsi="Arial" w:cs="Arial"/>
          <w:sz w:val="22"/>
          <w:szCs w:val="22"/>
        </w:rPr>
        <w:t> </w:t>
      </w:r>
      <w:r w:rsidRPr="0013233C">
        <w:rPr>
          <w:rFonts w:ascii="Arial" w:eastAsia="Arial" w:hAnsi="Arial" w:cs="Arial"/>
          <w:b/>
          <w:bCs/>
          <w:sz w:val="22"/>
          <w:szCs w:val="22"/>
        </w:rPr>
        <w:t>33°. </w:t>
      </w:r>
      <w:hyperlink r:id="rId22" w:anchor="4" w:history="1">
        <w:r w:rsidRPr="0013233C">
          <w:rPr>
            <w:rStyle w:val="Hipervnculo"/>
            <w:rFonts w:ascii="Arial" w:eastAsia="Arial" w:hAnsi="Arial" w:cs="Arial"/>
            <w:color w:val="auto"/>
            <w:sz w:val="22"/>
            <w:szCs w:val="22"/>
          </w:rPr>
          <w:t>Modificado por el art. 4, Decreto Distrital 356 de 2022.</w:t>
        </w:r>
      </w:hyperlink>
      <w:r w:rsidRPr="0013233C">
        <w:rPr>
          <w:rFonts w:ascii="Arial" w:eastAsia="Arial" w:hAnsi="Arial" w:cs="Arial"/>
          <w:sz w:val="22"/>
          <w:szCs w:val="22"/>
        </w:rPr>
        <w:t> </w:t>
      </w:r>
      <w:r w:rsidRPr="0013233C">
        <w:rPr>
          <w:rFonts w:ascii="Arial" w:eastAsia="Arial" w:hAnsi="Arial" w:cs="Arial"/>
          <w:i/>
          <w:iCs/>
          <w:sz w:val="22"/>
          <w:szCs w:val="22"/>
        </w:rPr>
        <w:t>&lt;El nuevo texto es el siguiente&gt; </w:t>
      </w:r>
      <w:r w:rsidRPr="0013233C">
        <w:rPr>
          <w:rFonts w:ascii="Arial" w:eastAsia="Arial" w:hAnsi="Arial" w:cs="Arial"/>
          <w:b/>
          <w:bCs/>
          <w:i/>
          <w:iCs/>
          <w:sz w:val="22"/>
          <w:szCs w:val="22"/>
        </w:rPr>
        <w:t>Responsabilidad en el seguimiento y control de la ordenación de pagos y compensaciones</w:t>
      </w:r>
      <w:r w:rsidRPr="0013233C">
        <w:rPr>
          <w:rFonts w:ascii="Arial" w:eastAsia="Arial" w:hAnsi="Arial" w:cs="Arial"/>
          <w:i/>
          <w:iCs/>
          <w:sz w:val="22"/>
          <w:szCs w:val="22"/>
        </w:rPr>
        <w:t>. </w:t>
      </w:r>
      <w:r w:rsidRPr="0013233C">
        <w:rPr>
          <w:rFonts w:ascii="Arial" w:eastAsia="Arial" w:hAnsi="Arial" w:cs="Arial"/>
          <w:sz w:val="22"/>
          <w:szCs w:val="22"/>
        </w:rPr>
        <w:t>Es responsabilidad del ordenador del gasto con funciones de ordenación del pago o el ordenador del pago y el responsable del presupuesto de las entidades que conforman el Presupuesto Anual del Distrito Capital y de los Fondos de Desarrollo Local, realizar el seguimiento y control de los documentos que ordenan pagos, compensaciones, pagos de carácter tributario y demás obligaciones radicadas ante la Dirección Distrital de Tesorería, así como la aclaración oportuna de los rechazos que se presenten y la tramitación de la respectiva solicitud de anulación y/o reenvío en el Sistema de Información Financiera que la Dirección Distrital de Tesorería establezca para tal fin. </w:t>
      </w:r>
    </w:p>
    <w:p w14:paraId="61A61BD0"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 </w:t>
      </w:r>
    </w:p>
    <w:p w14:paraId="3C85E63C"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Cuando en el curso de una vigencia fiscal y antes del respectivo cierre contable, de conformidad con las normas, plazos y procedimientos propios de la operación Tesoral, la Dirección Distrital de Tesorería establezca que es imposible realizar la ejecución bancaria de una orden de pago, giro o compensación, en los precisos términos en los cuales dicha orden fue impartida por el ordenador, podrá dejarla sin efectos, una vez lo comunique a la entidad, operación que quedará registrada en el sistema de información. En tales eventos, será responsabilidad exclusiva de la entidad o dependencia ordenadora revisar oportunamente el estado de la orden en el sistema de información y, según el caso, enviar o no una nueva orden de giro debidamente ajustada, o adoptar las medidas administrativas, jurídicas y presupuestales tendientes al reconocimiento de los derechos sustanciales o a la respectiva depuración contable, según las normas aplicables a cada actuación.</w:t>
      </w:r>
    </w:p>
    <w:p w14:paraId="77DE664F" w14:textId="7777777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 </w:t>
      </w:r>
    </w:p>
    <w:p w14:paraId="2A07CEB9" w14:textId="174871C1"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La información requerida para cumplir con este seguimiento y control deberá ser puesta a disposición por la Dirección Distrital de Tesorería para ser consultada oportunamente por las entidades ordenadoras dependencias o unidades ejecutoras, mediante el sistema de información que la Secretaría Distrital de Hacienda establezca para el efecto.</w:t>
      </w:r>
    </w:p>
    <w:p w14:paraId="5140C65D" w14:textId="3D06C20A" w:rsidR="00D06FA9" w:rsidRPr="0013233C" w:rsidRDefault="00D06FA9" w:rsidP="006B5508">
      <w:pPr>
        <w:ind w:left="720"/>
        <w:jc w:val="both"/>
        <w:rPr>
          <w:rFonts w:ascii="Arial" w:eastAsia="Arial" w:hAnsi="Arial" w:cs="Arial"/>
          <w:sz w:val="22"/>
          <w:szCs w:val="22"/>
        </w:rPr>
      </w:pPr>
    </w:p>
    <w:p w14:paraId="474ED4D2" w14:textId="7800AEF7" w:rsidR="00D06FA9" w:rsidRPr="0013233C" w:rsidRDefault="00D06FA9" w:rsidP="006B5508">
      <w:pPr>
        <w:ind w:left="720"/>
        <w:jc w:val="both"/>
        <w:rPr>
          <w:rFonts w:ascii="Arial" w:eastAsia="Arial" w:hAnsi="Arial" w:cs="Arial"/>
          <w:sz w:val="22"/>
          <w:szCs w:val="22"/>
        </w:rPr>
      </w:pPr>
      <w:r w:rsidRPr="0013233C">
        <w:rPr>
          <w:rFonts w:ascii="Arial" w:eastAsia="Arial" w:hAnsi="Arial" w:cs="Arial"/>
          <w:b/>
          <w:bCs/>
          <w:sz w:val="22"/>
          <w:szCs w:val="22"/>
        </w:rPr>
        <w:t>Artículo</w:t>
      </w:r>
      <w:r w:rsidRPr="0013233C">
        <w:rPr>
          <w:rFonts w:ascii="Arial" w:eastAsia="Arial" w:hAnsi="Arial" w:cs="Arial"/>
          <w:sz w:val="22"/>
          <w:szCs w:val="22"/>
        </w:rPr>
        <w:t> </w:t>
      </w:r>
      <w:r w:rsidRPr="0013233C">
        <w:rPr>
          <w:rFonts w:ascii="Arial" w:eastAsia="Arial" w:hAnsi="Arial" w:cs="Arial"/>
          <w:b/>
          <w:bCs/>
          <w:sz w:val="22"/>
          <w:szCs w:val="22"/>
        </w:rPr>
        <w:t>34°. </w:t>
      </w:r>
      <w:hyperlink r:id="rId23" w:anchor="5" w:history="1">
        <w:r w:rsidRPr="0013233C">
          <w:rPr>
            <w:rStyle w:val="Hipervnculo"/>
            <w:rFonts w:ascii="Arial" w:eastAsia="Arial" w:hAnsi="Arial" w:cs="Arial"/>
            <w:color w:val="auto"/>
            <w:sz w:val="22"/>
            <w:szCs w:val="22"/>
          </w:rPr>
          <w:t>Modificado por el art. 5, Decreto Distrital 356 de 2022.</w:t>
        </w:r>
      </w:hyperlink>
      <w:r w:rsidRPr="0013233C">
        <w:rPr>
          <w:rFonts w:ascii="Arial" w:eastAsia="Arial" w:hAnsi="Arial" w:cs="Arial"/>
          <w:sz w:val="22"/>
          <w:szCs w:val="22"/>
        </w:rPr>
        <w:t> </w:t>
      </w:r>
      <w:r w:rsidRPr="0013233C">
        <w:rPr>
          <w:rFonts w:ascii="Arial" w:eastAsia="Arial" w:hAnsi="Arial" w:cs="Arial"/>
          <w:i/>
          <w:iCs/>
          <w:sz w:val="22"/>
          <w:szCs w:val="22"/>
        </w:rPr>
        <w:t>&lt;El nuevo texto es el siguiente&gt; </w:t>
      </w:r>
      <w:r w:rsidRPr="0013233C">
        <w:rPr>
          <w:rFonts w:ascii="Arial" w:eastAsia="Arial" w:hAnsi="Arial" w:cs="Arial"/>
          <w:b/>
          <w:bCs/>
          <w:i/>
          <w:iCs/>
          <w:sz w:val="22"/>
          <w:szCs w:val="22"/>
        </w:rPr>
        <w:t>Legalidad, pertinencia y oportunidad.</w:t>
      </w:r>
      <w:r w:rsidRPr="0013233C">
        <w:rPr>
          <w:rFonts w:ascii="Arial" w:eastAsia="Arial" w:hAnsi="Arial" w:cs="Arial"/>
          <w:i/>
          <w:iCs/>
          <w:sz w:val="22"/>
          <w:szCs w:val="22"/>
        </w:rPr>
        <w:t> </w:t>
      </w:r>
      <w:r w:rsidRPr="0013233C">
        <w:rPr>
          <w:rFonts w:ascii="Arial" w:eastAsia="Arial" w:hAnsi="Arial" w:cs="Arial"/>
          <w:sz w:val="22"/>
          <w:szCs w:val="22"/>
        </w:rPr>
        <w:t>La responsabilidad sobre la legalidad, pertinencia y oportunidad de todos los pagos, compensaciones, pagos de carácter tributario y demás obligaciones recae exclusivamente sobre las entidades, dependencias o unidades ejecutoras ordenadoras y sobre los servidores públicos que suscriban la respectiva orden o instrucción.</w:t>
      </w:r>
    </w:p>
    <w:p w14:paraId="4D454120" w14:textId="74E04B27" w:rsidR="00D06FA9" w:rsidRPr="0013233C" w:rsidRDefault="00D06FA9" w:rsidP="006B5508">
      <w:pPr>
        <w:ind w:left="720"/>
        <w:jc w:val="both"/>
        <w:rPr>
          <w:rFonts w:ascii="Arial" w:eastAsia="Arial" w:hAnsi="Arial" w:cs="Arial"/>
          <w:sz w:val="22"/>
          <w:szCs w:val="22"/>
        </w:rPr>
      </w:pPr>
    </w:p>
    <w:p w14:paraId="5BB011E6" w14:textId="5E73BB8A"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w:t>
      </w:r>
    </w:p>
    <w:p w14:paraId="18EE740D" w14:textId="0EE6E52D" w:rsidR="00D06FA9" w:rsidRPr="0013233C" w:rsidRDefault="00D06FA9" w:rsidP="006B5508">
      <w:pPr>
        <w:ind w:left="720"/>
        <w:jc w:val="both"/>
        <w:rPr>
          <w:rFonts w:ascii="Arial" w:eastAsia="Arial" w:hAnsi="Arial" w:cs="Arial"/>
          <w:sz w:val="22"/>
          <w:szCs w:val="22"/>
        </w:rPr>
      </w:pPr>
    </w:p>
    <w:p w14:paraId="4AF2A9A4" w14:textId="5390B1D6" w:rsidR="00D06FA9" w:rsidRPr="0013233C" w:rsidRDefault="00D06FA9" w:rsidP="006B5508">
      <w:pPr>
        <w:ind w:left="720"/>
        <w:jc w:val="both"/>
        <w:rPr>
          <w:rFonts w:ascii="Arial" w:eastAsia="Arial" w:hAnsi="Arial" w:cs="Arial"/>
          <w:sz w:val="22"/>
          <w:szCs w:val="22"/>
        </w:rPr>
      </w:pPr>
      <w:r w:rsidRPr="0013233C">
        <w:rPr>
          <w:rFonts w:ascii="Arial" w:eastAsia="Arial" w:hAnsi="Arial" w:cs="Arial"/>
          <w:b/>
          <w:bCs/>
          <w:sz w:val="22"/>
          <w:szCs w:val="22"/>
        </w:rPr>
        <w:t>Artículo</w:t>
      </w:r>
      <w:r w:rsidRPr="0013233C">
        <w:rPr>
          <w:rFonts w:ascii="Arial" w:eastAsia="Arial" w:hAnsi="Arial" w:cs="Arial"/>
          <w:sz w:val="22"/>
          <w:szCs w:val="22"/>
        </w:rPr>
        <w:t> </w:t>
      </w:r>
      <w:r w:rsidRPr="0013233C">
        <w:rPr>
          <w:rFonts w:ascii="Arial" w:eastAsia="Arial" w:hAnsi="Arial" w:cs="Arial"/>
          <w:b/>
          <w:bCs/>
          <w:sz w:val="22"/>
          <w:szCs w:val="22"/>
        </w:rPr>
        <w:t>37°. Reportes de pago. </w:t>
      </w:r>
      <w:r w:rsidRPr="0013233C">
        <w:rPr>
          <w:rFonts w:ascii="Arial" w:eastAsia="Arial" w:hAnsi="Arial" w:cs="Arial"/>
          <w:sz w:val="22"/>
          <w:szCs w:val="22"/>
        </w:rPr>
        <w:t>La Dirección Distrital de Tesorería de la Secretaría Distrital de Hacienda facilitará a través del Sistema de Información que para el efecto se establezca un reporte que muestre en forma detallada los pagos efectuados por cada entidad, con el fin de que cuenten con información y puedan ejercer el control y la conciliación de sus órdenes de pago.</w:t>
      </w:r>
    </w:p>
    <w:p w14:paraId="710345C4" w14:textId="2598670B" w:rsidR="00D06FA9" w:rsidRPr="0013233C" w:rsidRDefault="00D06FA9" w:rsidP="006B5508">
      <w:pPr>
        <w:ind w:left="720"/>
        <w:jc w:val="both"/>
        <w:rPr>
          <w:rFonts w:ascii="Arial" w:eastAsia="Arial" w:hAnsi="Arial" w:cs="Arial"/>
          <w:sz w:val="22"/>
          <w:szCs w:val="22"/>
        </w:rPr>
      </w:pPr>
    </w:p>
    <w:p w14:paraId="62B5C7C4" w14:textId="7E5D1B1A" w:rsidR="00D06FA9" w:rsidRPr="0013233C" w:rsidRDefault="00D06FA9" w:rsidP="006B5508">
      <w:pPr>
        <w:ind w:left="720"/>
        <w:jc w:val="both"/>
        <w:rPr>
          <w:rFonts w:ascii="Arial" w:eastAsia="Arial" w:hAnsi="Arial" w:cs="Arial"/>
          <w:sz w:val="22"/>
          <w:szCs w:val="22"/>
        </w:rPr>
      </w:pPr>
      <w:r w:rsidRPr="0013233C">
        <w:rPr>
          <w:rFonts w:ascii="Arial" w:eastAsia="Arial" w:hAnsi="Arial" w:cs="Arial"/>
          <w:sz w:val="22"/>
          <w:szCs w:val="22"/>
        </w:rPr>
        <w:t xml:space="preserve">(…) </w:t>
      </w:r>
    </w:p>
    <w:p w14:paraId="54E5B7B8" w14:textId="0BC5F0AD" w:rsidR="00D06FA9" w:rsidRPr="0013233C" w:rsidRDefault="00D06FA9" w:rsidP="006B5508">
      <w:pPr>
        <w:ind w:left="720"/>
        <w:jc w:val="both"/>
        <w:rPr>
          <w:rFonts w:ascii="Arial" w:eastAsia="Arial" w:hAnsi="Arial" w:cs="Arial"/>
          <w:sz w:val="22"/>
          <w:szCs w:val="22"/>
        </w:rPr>
      </w:pPr>
    </w:p>
    <w:p w14:paraId="7E21DE2B" w14:textId="158A295D" w:rsidR="00C2781B" w:rsidRPr="0013233C" w:rsidRDefault="00D06FA9" w:rsidP="00415C39">
      <w:pPr>
        <w:ind w:left="720"/>
        <w:jc w:val="both"/>
        <w:rPr>
          <w:rFonts w:ascii="Arial" w:eastAsia="Arial" w:hAnsi="Arial" w:cs="Arial"/>
          <w:sz w:val="22"/>
          <w:szCs w:val="22"/>
        </w:rPr>
      </w:pPr>
      <w:r w:rsidRPr="0013233C">
        <w:rPr>
          <w:rFonts w:ascii="Arial" w:eastAsia="Arial" w:hAnsi="Arial" w:cs="Arial"/>
          <w:b/>
          <w:bCs/>
          <w:sz w:val="22"/>
          <w:szCs w:val="22"/>
        </w:rPr>
        <w:t>Artículo</w:t>
      </w:r>
      <w:r w:rsidRPr="0013233C">
        <w:rPr>
          <w:rFonts w:ascii="Arial" w:eastAsia="Arial" w:hAnsi="Arial" w:cs="Arial"/>
          <w:sz w:val="22"/>
          <w:szCs w:val="22"/>
        </w:rPr>
        <w:t> </w:t>
      </w:r>
      <w:r w:rsidRPr="0013233C">
        <w:rPr>
          <w:rFonts w:ascii="Arial" w:eastAsia="Arial" w:hAnsi="Arial" w:cs="Arial"/>
          <w:b/>
          <w:bCs/>
          <w:sz w:val="22"/>
          <w:szCs w:val="22"/>
        </w:rPr>
        <w:t>39°. Convenios interadministrativos de recaudo y de pagadurías delegadas. </w:t>
      </w:r>
      <w:r w:rsidRPr="0013233C">
        <w:rPr>
          <w:rFonts w:ascii="Arial" w:eastAsia="Arial" w:hAnsi="Arial" w:cs="Arial"/>
          <w:sz w:val="22"/>
          <w:szCs w:val="22"/>
        </w:rPr>
        <w:t>La Secretaría Distrital de Hacienda podrá celebrar con las entidades distritales los convenios interadministrativos que resulten necesarios para la recepción de los ingresos a favor del Distrito Capital y para la realización de pagos, en atención al volumen y complejidad de los mismos, en cuyo último caso la Dirección Distrital de Tesorería de la Secretaría Distrital de Hacienda transferirá los recursos correspondientes a la entidad con sujeción al Programa Anual Mensualizado de Caja - PAC aprobado.</w:t>
      </w:r>
    </w:p>
    <w:p w14:paraId="0D3B913A" w14:textId="60EFEF1A" w:rsidR="0013233C" w:rsidRPr="0013233C" w:rsidRDefault="00967C7C" w:rsidP="0013233C">
      <w:pPr>
        <w:pStyle w:val="Prrafodelista"/>
        <w:numPr>
          <w:ilvl w:val="0"/>
          <w:numId w:val="13"/>
        </w:numPr>
        <w:spacing w:before="240" w:after="240"/>
        <w:jc w:val="both"/>
        <w:rPr>
          <w:rFonts w:eastAsia="Arial" w:cs="Arial"/>
          <w:b/>
          <w:bCs/>
          <w:sz w:val="22"/>
          <w:szCs w:val="22"/>
        </w:rPr>
      </w:pPr>
      <w:r w:rsidRPr="0013233C">
        <w:rPr>
          <w:rFonts w:eastAsia="Arial" w:cs="Arial"/>
          <w:b/>
          <w:bCs/>
          <w:sz w:val="22"/>
          <w:szCs w:val="22"/>
        </w:rPr>
        <w:t>COMPETENCIA DEL CONCEJO</w:t>
      </w:r>
    </w:p>
    <w:p w14:paraId="7978889B" w14:textId="30F843CB" w:rsidR="00A042CD" w:rsidRPr="0013233C" w:rsidRDefault="00A042CD" w:rsidP="00422AA4">
      <w:pPr>
        <w:spacing w:before="240" w:after="240"/>
        <w:jc w:val="both"/>
        <w:rPr>
          <w:rFonts w:ascii="Arial" w:eastAsia="Arial" w:hAnsi="Arial" w:cs="Arial"/>
          <w:sz w:val="22"/>
          <w:szCs w:val="22"/>
        </w:rPr>
      </w:pPr>
      <w:r w:rsidRPr="0013233C">
        <w:rPr>
          <w:rFonts w:ascii="Arial" w:eastAsia="Arial" w:hAnsi="Arial" w:cs="Arial"/>
          <w:b/>
          <w:bCs/>
          <w:sz w:val="22"/>
          <w:szCs w:val="22"/>
        </w:rPr>
        <w:t>Decreto Ley 1421 de 1993</w:t>
      </w:r>
    </w:p>
    <w:p w14:paraId="247FD6DC" w14:textId="0A0E6BD5" w:rsidR="00967C7C" w:rsidRPr="0013233C" w:rsidRDefault="00967C7C" w:rsidP="00422AA4">
      <w:pPr>
        <w:spacing w:before="240" w:after="240"/>
        <w:ind w:left="720"/>
        <w:jc w:val="both"/>
        <w:rPr>
          <w:rFonts w:ascii="Arial" w:eastAsia="Arial" w:hAnsi="Arial" w:cs="Arial"/>
          <w:sz w:val="22"/>
          <w:szCs w:val="22"/>
        </w:rPr>
      </w:pPr>
      <w:r w:rsidRPr="0013233C">
        <w:rPr>
          <w:rFonts w:ascii="Arial" w:eastAsia="Arial" w:hAnsi="Arial" w:cs="Arial"/>
          <w:b/>
          <w:bCs/>
          <w:i/>
          <w:iCs/>
          <w:sz w:val="22"/>
          <w:szCs w:val="22"/>
        </w:rPr>
        <w:t>Artículo 8.</w:t>
      </w:r>
      <w:r w:rsidRPr="0013233C">
        <w:rPr>
          <w:rFonts w:ascii="Arial" w:eastAsia="Arial" w:hAnsi="Arial" w:cs="Arial"/>
          <w:i/>
          <w:iCs/>
          <w:sz w:val="22"/>
          <w:szCs w:val="22"/>
        </w:rPr>
        <w:t> Funciones generales. El Concejo es la suprema autoridad del Distrito Capital. En materia administrativa sus atribuciones son de carácter normativo. También le corresponde vigilar y controlar la gestión que cumplan las autoridades distritales.</w:t>
      </w:r>
    </w:p>
    <w:p w14:paraId="778607CC" w14:textId="36F41E14" w:rsidR="00967C7C" w:rsidRPr="0013233C" w:rsidRDefault="00967C7C" w:rsidP="00422AA4">
      <w:pPr>
        <w:spacing w:before="240" w:after="240"/>
        <w:ind w:left="720"/>
        <w:jc w:val="both"/>
        <w:rPr>
          <w:rFonts w:ascii="Arial" w:eastAsia="Arial" w:hAnsi="Arial" w:cs="Arial"/>
          <w:sz w:val="22"/>
          <w:szCs w:val="22"/>
        </w:rPr>
      </w:pPr>
      <w:r w:rsidRPr="0013233C">
        <w:rPr>
          <w:rFonts w:ascii="Arial" w:eastAsia="Arial" w:hAnsi="Arial" w:cs="Arial"/>
          <w:b/>
          <w:bCs/>
          <w:i/>
          <w:iCs/>
          <w:sz w:val="22"/>
          <w:szCs w:val="22"/>
        </w:rPr>
        <w:t>Artículo 12.</w:t>
      </w:r>
      <w:r w:rsidRPr="0013233C">
        <w:rPr>
          <w:rFonts w:ascii="Arial" w:eastAsia="Arial" w:hAnsi="Arial" w:cs="Arial"/>
          <w:i/>
          <w:iCs/>
          <w:sz w:val="22"/>
          <w:szCs w:val="22"/>
        </w:rPr>
        <w:t> Atribuciones. Corresponde al Concejo Distrital, de conformidad con la Constitución y a la ley:</w:t>
      </w:r>
    </w:p>
    <w:p w14:paraId="6BE621BB" w14:textId="477EAF3F" w:rsidR="00967C7C" w:rsidRPr="0013233C" w:rsidRDefault="00967C7C" w:rsidP="00422AA4">
      <w:pPr>
        <w:spacing w:before="240" w:after="240"/>
        <w:ind w:left="720"/>
        <w:jc w:val="both"/>
        <w:rPr>
          <w:rFonts w:ascii="Arial" w:eastAsia="Arial" w:hAnsi="Arial" w:cs="Arial"/>
          <w:sz w:val="22"/>
          <w:szCs w:val="22"/>
        </w:rPr>
      </w:pPr>
      <w:r w:rsidRPr="0013233C">
        <w:rPr>
          <w:rFonts w:ascii="Arial" w:eastAsia="Arial" w:hAnsi="Arial" w:cs="Arial"/>
          <w:i/>
          <w:iCs/>
          <w:sz w:val="22"/>
          <w:szCs w:val="22"/>
        </w:rPr>
        <w:t>1.  Dictar las normas necesarias para garantizar el adecuado cumplimiento de las funciones y la eficiente prestación de los servicios a cargo del Distrito. (….)</w:t>
      </w:r>
    </w:p>
    <w:p w14:paraId="28ED4D82" w14:textId="6822B4C6" w:rsidR="00A042CD" w:rsidRPr="0013233C" w:rsidRDefault="006F705A" w:rsidP="00422AA4">
      <w:pPr>
        <w:spacing w:before="240" w:after="240"/>
        <w:ind w:left="720"/>
        <w:jc w:val="both"/>
        <w:rPr>
          <w:rFonts w:ascii="Arial" w:eastAsia="Arial" w:hAnsi="Arial" w:cs="Arial"/>
          <w:sz w:val="22"/>
          <w:szCs w:val="22"/>
        </w:rPr>
      </w:pPr>
      <w:r w:rsidRPr="0013233C">
        <w:rPr>
          <w:rFonts w:ascii="Arial" w:eastAsia="Arial" w:hAnsi="Arial" w:cs="Arial"/>
          <w:i/>
          <w:iCs/>
          <w:sz w:val="22"/>
          <w:szCs w:val="22"/>
        </w:rPr>
        <w:t>10. Dictar las normas que garanticen la descentralización, la desconcentración y la participación y veeduría ciudadanas.</w:t>
      </w:r>
      <w:r w:rsidR="00967C7C" w:rsidRPr="0013233C">
        <w:rPr>
          <w:rFonts w:ascii="Arial" w:eastAsia="Arial" w:hAnsi="Arial" w:cs="Arial"/>
          <w:i/>
          <w:iCs/>
          <w:sz w:val="22"/>
          <w:szCs w:val="22"/>
        </w:rPr>
        <w:t> </w:t>
      </w:r>
    </w:p>
    <w:p w14:paraId="4A15C80D" w14:textId="7A5AFB42" w:rsidR="00967C7C" w:rsidRPr="0013233C" w:rsidRDefault="00967C7C" w:rsidP="00422AA4">
      <w:pPr>
        <w:spacing w:before="240" w:after="240"/>
        <w:ind w:left="720"/>
        <w:jc w:val="both"/>
        <w:rPr>
          <w:rFonts w:ascii="Arial" w:eastAsia="Arial" w:hAnsi="Arial" w:cs="Arial"/>
          <w:i/>
          <w:iCs/>
          <w:sz w:val="22"/>
          <w:szCs w:val="22"/>
        </w:rPr>
      </w:pPr>
      <w:r w:rsidRPr="0013233C">
        <w:rPr>
          <w:rFonts w:ascii="Arial" w:eastAsia="Arial" w:hAnsi="Arial" w:cs="Arial"/>
          <w:i/>
          <w:iCs/>
          <w:sz w:val="22"/>
          <w:szCs w:val="22"/>
        </w:rPr>
        <w:t>16. Dividir el territorio del Distrito en localidades, asignarles competencias y asegurar su funcionamiento y recursos.</w:t>
      </w:r>
    </w:p>
    <w:p w14:paraId="206C8E28" w14:textId="572ED0DE" w:rsidR="00464D0F" w:rsidRPr="00B072FF" w:rsidRDefault="006F705A" w:rsidP="00B072FF">
      <w:pPr>
        <w:spacing w:before="240" w:after="240"/>
        <w:ind w:left="720"/>
        <w:jc w:val="both"/>
        <w:rPr>
          <w:rFonts w:ascii="Arial" w:eastAsia="Arial" w:hAnsi="Arial" w:cs="Arial"/>
          <w:i/>
          <w:sz w:val="22"/>
          <w:szCs w:val="22"/>
        </w:rPr>
      </w:pPr>
      <w:r w:rsidRPr="0013233C">
        <w:rPr>
          <w:rFonts w:ascii="Arial" w:eastAsia="Arial" w:hAnsi="Arial" w:cs="Arial"/>
          <w:i/>
          <w:sz w:val="22"/>
          <w:szCs w:val="22"/>
        </w:rPr>
        <w:t>25. Cumplir las demás funciones que le asignen las disposiciones vigentes.</w:t>
      </w:r>
    </w:p>
    <w:p w14:paraId="33B5E53B" w14:textId="77777777" w:rsidR="00464D0F" w:rsidRPr="0013233C" w:rsidRDefault="008C0B08" w:rsidP="006B5508">
      <w:pPr>
        <w:numPr>
          <w:ilvl w:val="0"/>
          <w:numId w:val="13"/>
        </w:numPr>
        <w:pBdr>
          <w:top w:val="nil"/>
          <w:left w:val="nil"/>
          <w:bottom w:val="nil"/>
          <w:right w:val="nil"/>
          <w:between w:val="nil"/>
        </w:pBdr>
        <w:jc w:val="both"/>
        <w:rPr>
          <w:rFonts w:ascii="Arial" w:eastAsia="Arial" w:hAnsi="Arial" w:cs="Arial"/>
          <w:b/>
          <w:color w:val="000000"/>
          <w:sz w:val="22"/>
          <w:szCs w:val="22"/>
        </w:rPr>
      </w:pPr>
      <w:r w:rsidRPr="0013233C">
        <w:rPr>
          <w:rFonts w:ascii="Arial" w:eastAsia="Arial" w:hAnsi="Arial" w:cs="Arial"/>
          <w:b/>
          <w:color w:val="000000"/>
          <w:sz w:val="22"/>
          <w:szCs w:val="22"/>
        </w:rPr>
        <w:t xml:space="preserve">IMPACTO FISCAL </w:t>
      </w:r>
    </w:p>
    <w:p w14:paraId="6427D383" w14:textId="77777777" w:rsidR="00464D0F" w:rsidRPr="0013233C" w:rsidRDefault="00464D0F" w:rsidP="006B5508">
      <w:pPr>
        <w:jc w:val="both"/>
        <w:rPr>
          <w:rFonts w:ascii="Arial" w:eastAsia="Arial" w:hAnsi="Arial" w:cs="Arial"/>
          <w:sz w:val="22"/>
          <w:szCs w:val="22"/>
        </w:rPr>
      </w:pPr>
    </w:p>
    <w:p w14:paraId="66EA2294" w14:textId="77777777" w:rsidR="00464D0F" w:rsidRPr="0013233C" w:rsidRDefault="008C0B08" w:rsidP="006B5508">
      <w:pPr>
        <w:jc w:val="both"/>
        <w:rPr>
          <w:rFonts w:ascii="Arial" w:eastAsia="Arial" w:hAnsi="Arial" w:cs="Arial"/>
          <w:sz w:val="22"/>
          <w:szCs w:val="22"/>
        </w:rPr>
      </w:pPr>
      <w:r w:rsidRPr="0013233C">
        <w:rPr>
          <w:rFonts w:ascii="Arial" w:eastAsia="Arial" w:hAnsi="Arial" w:cs="Arial"/>
          <w:sz w:val="22"/>
          <w:szCs w:val="22"/>
        </w:rPr>
        <w:t>Como lo establece el artículo 7 de la Ley 819 de 2003, es obligatorio esclarecer el impacto fiscal que tienen las normas sobre las finanzas públicas, lo que significa medir la carga fiscal que estas pueden tener tanto en el presupuesto anual y en el Marco Fiscal de mediano Plazo que deben observar las diferentes entidades del Estado. Ahora bien, esto no significa que los instrumentos normativos que pueda aprobar el Concejo de Bogotá estén limitados por este hecho, pues como lo aclara la Sentencia C-911 de 2007, el impacto fiscal no se puede convertir en una limitación absoluta para que las corporaciones públicas cumplan con sus funciones legislativas o de orden normativo. En este sentido, la sentencia establece:</w:t>
      </w:r>
    </w:p>
    <w:p w14:paraId="3F3D6760" w14:textId="77777777" w:rsidR="00464D0F" w:rsidRPr="0013233C" w:rsidRDefault="00464D0F" w:rsidP="006B5508">
      <w:pPr>
        <w:jc w:val="both"/>
        <w:rPr>
          <w:rFonts w:ascii="Arial" w:eastAsia="Arial" w:hAnsi="Arial" w:cs="Arial"/>
          <w:i/>
          <w:sz w:val="22"/>
          <w:szCs w:val="22"/>
        </w:rPr>
      </w:pPr>
    </w:p>
    <w:p w14:paraId="31B39F06" w14:textId="77777777" w:rsidR="00464D0F" w:rsidRPr="0013233C" w:rsidRDefault="008C0B08" w:rsidP="006B5508">
      <w:pPr>
        <w:ind w:left="709"/>
        <w:jc w:val="both"/>
        <w:rPr>
          <w:rFonts w:ascii="Arial" w:eastAsia="Arial" w:hAnsi="Arial" w:cs="Arial"/>
          <w:i/>
          <w:sz w:val="22"/>
          <w:szCs w:val="22"/>
        </w:rPr>
      </w:pPr>
      <w:r w:rsidRPr="0013233C">
        <w:rPr>
          <w:rFonts w:ascii="Arial" w:eastAsia="Arial" w:hAnsi="Arial" w:cs="Arial"/>
          <w:i/>
          <w:sz w:val="22"/>
          <w:szCs w:val="22"/>
        </w:rPr>
        <w:t xml:space="preserve">En la realidad, aceptar que las condiciones establecidas en el art. 7° de la Ley 819 de 2003 constituyen un requisito de trámite que le incumbe cumplir única y exclusivamente al Congreso reduce desproporcionadamente la capacidad de iniciativa legislativa que reside en el Congreso de la República, con lo cual se vulnera el principio de separación de las Ramas del Poder Público, en la medida en que se lesiona seriamente la autonomía del Legislativo. </w:t>
      </w:r>
    </w:p>
    <w:p w14:paraId="52E87827" w14:textId="77777777" w:rsidR="00464D0F" w:rsidRPr="0013233C" w:rsidRDefault="00464D0F" w:rsidP="006B5508">
      <w:pPr>
        <w:ind w:left="709"/>
        <w:jc w:val="both"/>
        <w:rPr>
          <w:rFonts w:ascii="Arial" w:eastAsia="Arial" w:hAnsi="Arial" w:cs="Arial"/>
          <w:i/>
          <w:sz w:val="22"/>
          <w:szCs w:val="22"/>
        </w:rPr>
      </w:pPr>
    </w:p>
    <w:p w14:paraId="3B565B3E" w14:textId="77777777" w:rsidR="00464D0F" w:rsidRPr="0013233C" w:rsidRDefault="008C0B08" w:rsidP="006B5508">
      <w:pPr>
        <w:ind w:left="709"/>
        <w:jc w:val="both"/>
        <w:rPr>
          <w:rFonts w:ascii="Arial" w:eastAsia="Arial" w:hAnsi="Arial" w:cs="Arial"/>
          <w:i/>
          <w:sz w:val="22"/>
          <w:szCs w:val="22"/>
        </w:rPr>
      </w:pPr>
      <w:r w:rsidRPr="0013233C">
        <w:rPr>
          <w:rFonts w:ascii="Arial" w:eastAsia="Arial" w:hAnsi="Arial" w:cs="Arial"/>
          <w:i/>
          <w:sz w:val="22"/>
          <w:szCs w:val="22"/>
        </w:rPr>
        <w:t xml:space="preserve">(…) el mencionado artículo debe interpretarse en el sentido de que su fin es obtener que las leyes que se dicten tengan en cuenta las realidades macroeconómicas, pero sin crear barreras insalvables en el ejercicio de la función legislativa ni crear un poder de veto legislativo en cabeza del Ministro de Hacienda. </w:t>
      </w:r>
    </w:p>
    <w:p w14:paraId="03066CDE" w14:textId="77777777" w:rsidR="00422AA4" w:rsidRPr="0013233C" w:rsidRDefault="00422AA4" w:rsidP="006B5508">
      <w:pPr>
        <w:jc w:val="both"/>
        <w:rPr>
          <w:rFonts w:ascii="Arial" w:eastAsia="Arial" w:hAnsi="Arial" w:cs="Arial"/>
          <w:sz w:val="22"/>
          <w:szCs w:val="22"/>
        </w:rPr>
      </w:pPr>
    </w:p>
    <w:p w14:paraId="75F9454B" w14:textId="6BE31E18" w:rsidR="00464D0F" w:rsidRPr="0013233C" w:rsidRDefault="00422AA4" w:rsidP="006B5508">
      <w:pPr>
        <w:jc w:val="both"/>
        <w:rPr>
          <w:rFonts w:ascii="Arial" w:eastAsia="Arial" w:hAnsi="Arial" w:cs="Arial"/>
          <w:sz w:val="22"/>
          <w:szCs w:val="22"/>
        </w:rPr>
      </w:pPr>
      <w:r w:rsidRPr="0013233C">
        <w:rPr>
          <w:rFonts w:ascii="Arial" w:eastAsia="Arial" w:hAnsi="Arial" w:cs="Arial"/>
          <w:sz w:val="22"/>
          <w:szCs w:val="22"/>
        </w:rPr>
        <w:t>T</w:t>
      </w:r>
      <w:r w:rsidR="008C0B08" w:rsidRPr="0013233C">
        <w:rPr>
          <w:rFonts w:ascii="Arial" w:eastAsia="Arial" w:hAnsi="Arial" w:cs="Arial"/>
          <w:sz w:val="22"/>
          <w:szCs w:val="22"/>
        </w:rPr>
        <w:t>eniendo en cuenta el objeto del proyecto y cómo este se alcanzará, se considera que no se genera impacto fiscal y los recursos con los que cuentan las entidades del nivel central y descentralizado del Distrito son suficientes para su puesta en marcha.</w:t>
      </w:r>
    </w:p>
    <w:p w14:paraId="76E44C59" w14:textId="77777777" w:rsidR="00464D0F" w:rsidRPr="0013233C" w:rsidRDefault="00464D0F" w:rsidP="006B5508">
      <w:pPr>
        <w:jc w:val="both"/>
        <w:rPr>
          <w:rFonts w:ascii="Arial" w:eastAsia="Arial" w:hAnsi="Arial" w:cs="Arial"/>
          <w:sz w:val="22"/>
          <w:szCs w:val="22"/>
        </w:rPr>
      </w:pPr>
    </w:p>
    <w:p w14:paraId="2F51E726" w14:textId="666C1DB7" w:rsidR="00464D0F" w:rsidRPr="0013233C" w:rsidRDefault="008C0B08" w:rsidP="006B5508">
      <w:pPr>
        <w:jc w:val="both"/>
        <w:rPr>
          <w:rFonts w:ascii="Arial" w:eastAsia="Arial" w:hAnsi="Arial" w:cs="Arial"/>
          <w:sz w:val="22"/>
          <w:szCs w:val="22"/>
        </w:rPr>
      </w:pPr>
      <w:r w:rsidRPr="0013233C">
        <w:rPr>
          <w:rFonts w:ascii="Arial" w:eastAsia="Arial" w:hAnsi="Arial" w:cs="Arial"/>
          <w:sz w:val="22"/>
          <w:szCs w:val="22"/>
        </w:rPr>
        <w:t xml:space="preserve">Teniendo en cuenta especialmente que </w:t>
      </w:r>
      <w:r w:rsidR="008A2669">
        <w:rPr>
          <w:rFonts w:ascii="Arial" w:eastAsia="Arial" w:hAnsi="Arial" w:cs="Arial"/>
          <w:sz w:val="22"/>
          <w:szCs w:val="22"/>
        </w:rPr>
        <w:t xml:space="preserve">un estudio para analizar la viabilidad de la creación de </w:t>
      </w:r>
      <w:r w:rsidR="004B6F4B" w:rsidRPr="0013233C">
        <w:rPr>
          <w:rFonts w:ascii="Arial" w:eastAsia="Arial" w:hAnsi="Arial" w:cs="Arial"/>
          <w:sz w:val="22"/>
          <w:szCs w:val="22"/>
        </w:rPr>
        <w:t>los Comités asesores</w:t>
      </w:r>
      <w:r w:rsidR="0041565D" w:rsidRPr="0013233C">
        <w:rPr>
          <w:rFonts w:ascii="Arial" w:eastAsia="Arial" w:hAnsi="Arial" w:cs="Arial"/>
          <w:sz w:val="22"/>
          <w:szCs w:val="22"/>
        </w:rPr>
        <w:t xml:space="preserve"> </w:t>
      </w:r>
      <w:r w:rsidR="006464CB" w:rsidRPr="0013233C">
        <w:rPr>
          <w:rFonts w:ascii="Arial" w:eastAsia="Arial" w:hAnsi="Arial" w:cs="Arial"/>
          <w:sz w:val="22"/>
          <w:szCs w:val="22"/>
        </w:rPr>
        <w:t>para el saneamiento de obligaciones por pagar en los Fondos de Desarrollo Local del Distrito Capital</w:t>
      </w:r>
      <w:r w:rsidR="009F7147" w:rsidRPr="0013233C">
        <w:rPr>
          <w:rFonts w:ascii="Arial" w:eastAsia="Arial" w:hAnsi="Arial" w:cs="Arial"/>
          <w:sz w:val="22"/>
          <w:szCs w:val="22"/>
        </w:rPr>
        <w:t xml:space="preserve"> y el Fondo de Desarrollo Rural de Sumapaz</w:t>
      </w:r>
      <w:r w:rsidR="006464CB" w:rsidRPr="0013233C">
        <w:rPr>
          <w:rFonts w:ascii="Arial" w:eastAsia="Arial" w:hAnsi="Arial" w:cs="Arial"/>
          <w:sz w:val="22"/>
          <w:szCs w:val="22"/>
        </w:rPr>
        <w:t xml:space="preserve"> </w:t>
      </w:r>
      <w:r w:rsidR="008A2669">
        <w:rPr>
          <w:rFonts w:ascii="Arial" w:eastAsia="Arial" w:hAnsi="Arial" w:cs="Arial"/>
          <w:sz w:val="22"/>
          <w:szCs w:val="22"/>
        </w:rPr>
        <w:t>no genera un impacto fiscal ya que este puede ser realizado por los funcionarios con lo que ya cuenta el Distrito Capital</w:t>
      </w:r>
      <w:r w:rsidR="006464CB" w:rsidRPr="0013233C">
        <w:rPr>
          <w:rFonts w:ascii="Arial" w:eastAsia="Arial" w:hAnsi="Arial" w:cs="Arial"/>
          <w:sz w:val="22"/>
          <w:szCs w:val="22"/>
        </w:rPr>
        <w:t>.</w:t>
      </w:r>
    </w:p>
    <w:p w14:paraId="741D572C" w14:textId="29758DAC" w:rsidR="00464D0F" w:rsidRPr="0013233C" w:rsidRDefault="00464D0F">
      <w:pPr>
        <w:jc w:val="both"/>
        <w:rPr>
          <w:rFonts w:ascii="Arial" w:eastAsia="Arial" w:hAnsi="Arial" w:cs="Arial"/>
          <w:b/>
          <w:sz w:val="22"/>
          <w:szCs w:val="22"/>
        </w:rPr>
      </w:pPr>
    </w:p>
    <w:p w14:paraId="24A61FEF" w14:textId="77777777" w:rsidR="00464D0F" w:rsidRPr="0013233C" w:rsidRDefault="008C0B08" w:rsidP="0041565D">
      <w:pPr>
        <w:numPr>
          <w:ilvl w:val="0"/>
          <w:numId w:val="13"/>
        </w:numPr>
        <w:pBdr>
          <w:top w:val="nil"/>
          <w:left w:val="nil"/>
          <w:bottom w:val="nil"/>
          <w:right w:val="nil"/>
          <w:between w:val="nil"/>
        </w:pBdr>
        <w:jc w:val="both"/>
        <w:rPr>
          <w:rFonts w:ascii="Arial" w:eastAsia="Arial" w:hAnsi="Arial" w:cs="Arial"/>
          <w:b/>
          <w:color w:val="000000"/>
          <w:sz w:val="22"/>
          <w:szCs w:val="22"/>
        </w:rPr>
      </w:pPr>
      <w:r w:rsidRPr="0013233C">
        <w:rPr>
          <w:rFonts w:ascii="Arial" w:eastAsia="Arial" w:hAnsi="Arial" w:cs="Arial"/>
          <w:b/>
          <w:color w:val="000000"/>
          <w:sz w:val="22"/>
          <w:szCs w:val="22"/>
        </w:rPr>
        <w:t>CONCLUSIÓN</w:t>
      </w:r>
    </w:p>
    <w:p w14:paraId="1423CB80" w14:textId="77777777" w:rsidR="00464D0F" w:rsidRPr="0013233C" w:rsidRDefault="00464D0F">
      <w:pPr>
        <w:jc w:val="both"/>
        <w:rPr>
          <w:rFonts w:ascii="Arial" w:eastAsia="Arial" w:hAnsi="Arial" w:cs="Arial"/>
          <w:b/>
          <w:sz w:val="22"/>
          <w:szCs w:val="22"/>
        </w:rPr>
      </w:pPr>
    </w:p>
    <w:p w14:paraId="3C429F67" w14:textId="77777777" w:rsidR="00464D0F" w:rsidRPr="0013233C" w:rsidRDefault="008C0B08">
      <w:pPr>
        <w:jc w:val="both"/>
        <w:rPr>
          <w:rFonts w:ascii="Arial" w:eastAsia="Arial" w:hAnsi="Arial" w:cs="Arial"/>
          <w:sz w:val="22"/>
          <w:szCs w:val="22"/>
        </w:rPr>
      </w:pPr>
      <w:r w:rsidRPr="0013233C">
        <w:rPr>
          <w:rFonts w:ascii="Arial" w:eastAsia="Arial" w:hAnsi="Arial" w:cs="Arial"/>
          <w:sz w:val="22"/>
          <w:szCs w:val="22"/>
        </w:rPr>
        <w:t xml:space="preserve">En mérito de lo expuesto y de conformidad con el Capítulo IX del Acuerdo 741 de 2019, nos permitimos presentar a su consideración el presente proyecto de acuerdo, para su trámite y aprobación. </w:t>
      </w:r>
    </w:p>
    <w:p w14:paraId="62EA0B35" w14:textId="77777777" w:rsidR="00464D0F" w:rsidRPr="0013233C" w:rsidRDefault="00464D0F">
      <w:pPr>
        <w:jc w:val="both"/>
        <w:rPr>
          <w:rFonts w:ascii="Arial" w:eastAsia="Arial" w:hAnsi="Arial" w:cs="Arial"/>
          <w:sz w:val="22"/>
          <w:szCs w:val="22"/>
        </w:rPr>
      </w:pPr>
    </w:p>
    <w:p w14:paraId="47BCD375" w14:textId="61EB7BA9" w:rsidR="00464D0F" w:rsidRDefault="009840A1">
      <w:pPr>
        <w:jc w:val="both"/>
        <w:rPr>
          <w:rFonts w:ascii="Arial" w:eastAsia="Arial" w:hAnsi="Arial" w:cs="Arial"/>
          <w:sz w:val="22"/>
          <w:szCs w:val="22"/>
        </w:rPr>
      </w:pPr>
      <w:r>
        <w:rPr>
          <w:noProof/>
          <w:position w:val="-3"/>
          <w:lang w:eastAsia="es-CO"/>
        </w:rPr>
        <w:drawing>
          <wp:anchor distT="0" distB="0" distL="0" distR="0" simplePos="0" relativeHeight="251673600" behindDoc="1" locked="0" layoutInCell="1" allowOverlap="1" wp14:anchorId="417787F7" wp14:editId="77B42A5A">
            <wp:simplePos x="0" y="0"/>
            <wp:positionH relativeFrom="page">
              <wp:posOffset>1851660</wp:posOffset>
            </wp:positionH>
            <wp:positionV relativeFrom="paragraph">
              <wp:posOffset>53975</wp:posOffset>
            </wp:positionV>
            <wp:extent cx="1229867" cy="763524"/>
            <wp:effectExtent l="0" t="0" r="0" b="0"/>
            <wp:wrapNone/>
            <wp:docPr id="72" name="Imag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2" name="Image 72"/>
                    <pic:cNvPicPr/>
                  </pic:nvPicPr>
                  <pic:blipFill>
                    <a:blip r:embed="rId24" cstate="print"/>
                    <a:stretch>
                      <a:fillRect/>
                    </a:stretch>
                  </pic:blipFill>
                  <pic:spPr>
                    <a:xfrm>
                      <a:off x="0" y="0"/>
                      <a:ext cx="1229867" cy="763524"/>
                    </a:xfrm>
                    <a:prstGeom prst="rect">
                      <a:avLst/>
                    </a:prstGeom>
                  </pic:spPr>
                </pic:pic>
              </a:graphicData>
            </a:graphic>
          </wp:anchor>
        </w:drawing>
      </w:r>
      <w:r w:rsidR="008C0B08" w:rsidRPr="0013233C">
        <w:rPr>
          <w:rFonts w:ascii="Arial" w:eastAsia="Arial" w:hAnsi="Arial" w:cs="Arial"/>
          <w:sz w:val="22"/>
          <w:szCs w:val="22"/>
        </w:rPr>
        <w:t xml:space="preserve">Respetuosamente, </w:t>
      </w:r>
    </w:p>
    <w:p w14:paraId="769767C9" w14:textId="6E9E9E97" w:rsidR="00734696" w:rsidRDefault="00734696">
      <w:pPr>
        <w:jc w:val="both"/>
        <w:rPr>
          <w:rFonts w:ascii="Arial" w:eastAsia="Arial" w:hAnsi="Arial" w:cs="Arial"/>
          <w:sz w:val="22"/>
          <w:szCs w:val="22"/>
        </w:rPr>
      </w:pPr>
    </w:p>
    <w:p w14:paraId="5FBDC976" w14:textId="2DEC1C3E" w:rsidR="00B072FF" w:rsidRPr="0013233C" w:rsidRDefault="009840A1">
      <w:pPr>
        <w:jc w:val="both"/>
        <w:rPr>
          <w:rFonts w:ascii="Arial" w:eastAsia="Arial" w:hAnsi="Arial" w:cs="Arial"/>
          <w:sz w:val="22"/>
          <w:szCs w:val="22"/>
        </w:rPr>
      </w:pPr>
      <w:r>
        <w:rPr>
          <w:noProof/>
          <w:position w:val="-3"/>
          <w:lang w:eastAsia="es-CO"/>
        </w:rPr>
        <w:drawing>
          <wp:anchor distT="0" distB="0" distL="114300" distR="114300" simplePos="0" relativeHeight="251674624" behindDoc="0" locked="0" layoutInCell="1" allowOverlap="1" wp14:anchorId="661FD039" wp14:editId="05F61AEC">
            <wp:simplePos x="0" y="0"/>
            <wp:positionH relativeFrom="column">
              <wp:posOffset>3044190</wp:posOffset>
            </wp:positionH>
            <wp:positionV relativeFrom="paragraph">
              <wp:posOffset>100965</wp:posOffset>
            </wp:positionV>
            <wp:extent cx="2267585" cy="393065"/>
            <wp:effectExtent l="0" t="0" r="0" b="6985"/>
            <wp:wrapNone/>
            <wp:docPr id="74" name="Image 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4" name="Image 7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267585" cy="393065"/>
                    </a:xfrm>
                    <a:prstGeom prst="rect">
                      <a:avLst/>
                    </a:prstGeom>
                  </pic:spPr>
                </pic:pic>
              </a:graphicData>
            </a:graphic>
          </wp:anchor>
        </w:drawing>
      </w:r>
    </w:p>
    <w:p w14:paraId="32091C3A" w14:textId="2DB25824" w:rsidR="00464D0F" w:rsidRPr="00422AA4" w:rsidRDefault="009840A1">
      <w:pPr>
        <w:jc w:val="both"/>
        <w:rPr>
          <w:rFonts w:ascii="Arial" w:eastAsia="Arial" w:hAnsi="Arial" w:cs="Arial"/>
        </w:rPr>
      </w:pPr>
      <w:r>
        <w:rPr>
          <w:noProof/>
          <w:position w:val="-3"/>
          <w:lang w:eastAsia="es-CO"/>
        </w:rPr>
        <w:t xml:space="preserve"> </w:t>
      </w:r>
    </w:p>
    <w:p w14:paraId="22FB169D" w14:textId="6F1847C7" w:rsidR="00415C39" w:rsidRPr="00734696" w:rsidRDefault="009840A1" w:rsidP="00415C39">
      <w:pPr>
        <w:widowControl w:val="0"/>
        <w:tabs>
          <w:tab w:val="left" w:pos="4966"/>
        </w:tabs>
        <w:autoSpaceDE w:val="0"/>
        <w:autoSpaceDN w:val="0"/>
        <w:ind w:left="2"/>
        <w:outlineLvl w:val="0"/>
        <w:rPr>
          <w:rFonts w:ascii="Arial" w:eastAsia="Arial" w:hAnsi="Arial" w:cs="Arial"/>
          <w:b/>
          <w:bCs/>
          <w:sz w:val="22"/>
          <w:szCs w:val="22"/>
          <w:lang w:val="es-ES" w:eastAsia="en-US"/>
        </w:rPr>
      </w:pPr>
      <w:r>
        <w:rPr>
          <w:noProof/>
          <w:lang w:eastAsia="es-CO"/>
        </w:rPr>
        <w:drawing>
          <wp:anchor distT="0" distB="0" distL="0" distR="0" simplePos="0" relativeHeight="251676672" behindDoc="1" locked="0" layoutInCell="1" allowOverlap="1" wp14:anchorId="31133550" wp14:editId="5B57B634">
            <wp:simplePos x="0" y="0"/>
            <wp:positionH relativeFrom="margin">
              <wp:align>left</wp:align>
            </wp:positionH>
            <wp:positionV relativeFrom="page">
              <wp:posOffset>5353050</wp:posOffset>
            </wp:positionV>
            <wp:extent cx="1657350" cy="1057275"/>
            <wp:effectExtent l="0" t="0" r="0" b="9525"/>
            <wp:wrapNone/>
            <wp:docPr id="71" name="Imag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1" name="Image 71"/>
                    <pic:cNvPicPr/>
                  </pic:nvPicPr>
                  <pic:blipFill>
                    <a:blip r:embed="rId26" cstate="print"/>
                    <a:stretch>
                      <a:fillRect/>
                    </a:stretch>
                  </pic:blipFill>
                  <pic:spPr>
                    <a:xfrm>
                      <a:off x="0" y="0"/>
                      <a:ext cx="1657350" cy="1057275"/>
                    </a:xfrm>
                    <a:prstGeom prst="rect">
                      <a:avLst/>
                    </a:prstGeom>
                  </pic:spPr>
                </pic:pic>
              </a:graphicData>
            </a:graphic>
            <wp14:sizeRelH relativeFrom="margin">
              <wp14:pctWidth>0</wp14:pctWidth>
            </wp14:sizeRelH>
            <wp14:sizeRelV relativeFrom="margin">
              <wp14:pctHeight>0</wp14:pctHeight>
            </wp14:sizeRelV>
          </wp:anchor>
        </w:drawing>
      </w:r>
      <w:r>
        <w:rPr>
          <w:noProof/>
          <w:lang w:eastAsia="es-CO"/>
        </w:rPr>
        <w:drawing>
          <wp:anchor distT="0" distB="0" distL="0" distR="0" simplePos="0" relativeHeight="251678720" behindDoc="1" locked="0" layoutInCell="1" allowOverlap="1" wp14:anchorId="4B7646F4" wp14:editId="3FB01120">
            <wp:simplePos x="0" y="0"/>
            <wp:positionH relativeFrom="page">
              <wp:posOffset>5000625</wp:posOffset>
            </wp:positionH>
            <wp:positionV relativeFrom="paragraph">
              <wp:posOffset>160020</wp:posOffset>
            </wp:positionV>
            <wp:extent cx="1072895" cy="917448"/>
            <wp:effectExtent l="0" t="0" r="0" b="0"/>
            <wp:wrapNone/>
            <wp:docPr id="75" name="Image 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5" name="Image 75"/>
                    <pic:cNvPicPr/>
                  </pic:nvPicPr>
                  <pic:blipFill>
                    <a:blip r:embed="rId27" cstate="print"/>
                    <a:stretch>
                      <a:fillRect/>
                    </a:stretch>
                  </pic:blipFill>
                  <pic:spPr>
                    <a:xfrm>
                      <a:off x="0" y="0"/>
                      <a:ext cx="1072895" cy="917448"/>
                    </a:xfrm>
                    <a:prstGeom prst="rect">
                      <a:avLst/>
                    </a:prstGeom>
                  </pic:spPr>
                </pic:pic>
              </a:graphicData>
            </a:graphic>
          </wp:anchor>
        </w:drawing>
      </w:r>
      <w:r w:rsidR="00734696" w:rsidRPr="00734696">
        <w:rPr>
          <w:rFonts w:ascii="Arial" w:eastAsia="Arial" w:hAnsi="Arial" w:cs="Arial"/>
          <w:b/>
          <w:bCs/>
          <w:sz w:val="22"/>
          <w:szCs w:val="22"/>
          <w:lang w:val="es-ES" w:eastAsia="en-US"/>
        </w:rPr>
        <w:t>DAVID</w:t>
      </w:r>
      <w:r w:rsidR="00734696" w:rsidRPr="00734696">
        <w:rPr>
          <w:rFonts w:ascii="Arial" w:eastAsia="Arial" w:hAnsi="Arial" w:cs="Arial"/>
          <w:b/>
          <w:bCs/>
          <w:spacing w:val="-8"/>
          <w:sz w:val="22"/>
          <w:szCs w:val="22"/>
          <w:lang w:val="es-ES" w:eastAsia="en-US"/>
        </w:rPr>
        <w:t xml:space="preserve"> </w:t>
      </w:r>
      <w:r w:rsidR="00734696" w:rsidRPr="00734696">
        <w:rPr>
          <w:rFonts w:ascii="Arial" w:eastAsia="Arial" w:hAnsi="Arial" w:cs="Arial"/>
          <w:b/>
          <w:bCs/>
          <w:sz w:val="22"/>
          <w:szCs w:val="22"/>
          <w:lang w:val="es-ES" w:eastAsia="en-US"/>
        </w:rPr>
        <w:t>HERNANDO</w:t>
      </w:r>
      <w:r w:rsidR="00734696" w:rsidRPr="00734696">
        <w:rPr>
          <w:rFonts w:ascii="Arial" w:eastAsia="Arial" w:hAnsi="Arial" w:cs="Arial"/>
          <w:b/>
          <w:bCs/>
          <w:spacing w:val="-5"/>
          <w:sz w:val="22"/>
          <w:szCs w:val="22"/>
          <w:lang w:val="es-ES" w:eastAsia="en-US"/>
        </w:rPr>
        <w:t xml:space="preserve"> </w:t>
      </w:r>
      <w:r w:rsidR="00734696" w:rsidRPr="00734696">
        <w:rPr>
          <w:rFonts w:ascii="Arial" w:eastAsia="Arial" w:hAnsi="Arial" w:cs="Arial"/>
          <w:b/>
          <w:bCs/>
          <w:sz w:val="22"/>
          <w:szCs w:val="22"/>
          <w:lang w:val="es-ES" w:eastAsia="en-US"/>
        </w:rPr>
        <w:t>SAAVEDRA</w:t>
      </w:r>
      <w:r w:rsidR="00734696" w:rsidRPr="00734696">
        <w:rPr>
          <w:rFonts w:ascii="Arial" w:eastAsia="Arial" w:hAnsi="Arial" w:cs="Arial"/>
          <w:b/>
          <w:bCs/>
          <w:spacing w:val="-11"/>
          <w:sz w:val="22"/>
          <w:szCs w:val="22"/>
          <w:lang w:val="es-ES" w:eastAsia="en-US"/>
        </w:rPr>
        <w:t xml:space="preserve"> </w:t>
      </w:r>
      <w:r w:rsidR="00734696" w:rsidRPr="00734696">
        <w:rPr>
          <w:rFonts w:ascii="Arial" w:eastAsia="Arial" w:hAnsi="Arial" w:cs="Arial"/>
          <w:b/>
          <w:bCs/>
          <w:spacing w:val="-2"/>
          <w:sz w:val="22"/>
          <w:szCs w:val="22"/>
          <w:lang w:val="es-ES" w:eastAsia="en-US"/>
        </w:rPr>
        <w:t>MURCIA</w:t>
      </w:r>
      <w:r w:rsidR="00734696" w:rsidRPr="00734696">
        <w:rPr>
          <w:rFonts w:ascii="Arial" w:eastAsia="Arial" w:hAnsi="Arial" w:cs="Arial"/>
          <w:b/>
          <w:bCs/>
          <w:sz w:val="22"/>
          <w:szCs w:val="22"/>
          <w:lang w:val="es-ES" w:eastAsia="en-US"/>
        </w:rPr>
        <w:tab/>
      </w:r>
      <w:r w:rsidR="00415C39" w:rsidRPr="00734696">
        <w:rPr>
          <w:rFonts w:ascii="Arial" w:eastAsia="Arial" w:hAnsi="Arial" w:cs="Arial"/>
          <w:b/>
          <w:bCs/>
          <w:sz w:val="22"/>
          <w:szCs w:val="22"/>
          <w:lang w:val="es-ES" w:eastAsia="en-US"/>
        </w:rPr>
        <w:t>CRISTINA</w:t>
      </w:r>
      <w:r w:rsidR="00415C39" w:rsidRPr="00734696">
        <w:rPr>
          <w:rFonts w:ascii="Arial" w:eastAsia="Arial" w:hAnsi="Arial" w:cs="Arial"/>
          <w:b/>
          <w:bCs/>
          <w:spacing w:val="-14"/>
          <w:sz w:val="22"/>
          <w:szCs w:val="22"/>
          <w:lang w:val="es-ES" w:eastAsia="en-US"/>
        </w:rPr>
        <w:t xml:space="preserve"> </w:t>
      </w:r>
      <w:r w:rsidR="00415C39" w:rsidRPr="00734696">
        <w:rPr>
          <w:rFonts w:ascii="Arial" w:eastAsia="Arial" w:hAnsi="Arial" w:cs="Arial"/>
          <w:b/>
          <w:bCs/>
          <w:sz w:val="22"/>
          <w:szCs w:val="22"/>
          <w:lang w:val="es-ES" w:eastAsia="en-US"/>
        </w:rPr>
        <w:t>CALDERÓN</w:t>
      </w:r>
      <w:r w:rsidR="00415C39" w:rsidRPr="00734696">
        <w:rPr>
          <w:rFonts w:ascii="Arial" w:eastAsia="Arial" w:hAnsi="Arial" w:cs="Arial"/>
          <w:b/>
          <w:bCs/>
          <w:spacing w:val="-6"/>
          <w:sz w:val="22"/>
          <w:szCs w:val="22"/>
          <w:lang w:val="es-ES" w:eastAsia="en-US"/>
        </w:rPr>
        <w:t xml:space="preserve"> </w:t>
      </w:r>
      <w:r w:rsidR="00415C39" w:rsidRPr="00734696">
        <w:rPr>
          <w:rFonts w:ascii="Arial" w:eastAsia="Arial" w:hAnsi="Arial" w:cs="Arial"/>
          <w:b/>
          <w:bCs/>
          <w:spacing w:val="-2"/>
          <w:sz w:val="22"/>
          <w:szCs w:val="22"/>
          <w:lang w:val="es-ES" w:eastAsia="en-US"/>
        </w:rPr>
        <w:t>RESTREPO</w:t>
      </w:r>
    </w:p>
    <w:p w14:paraId="159F4DF1" w14:textId="5C62C51F" w:rsidR="00415C39" w:rsidRPr="00734696" w:rsidRDefault="00415C39" w:rsidP="00415C39">
      <w:pPr>
        <w:widowControl w:val="0"/>
        <w:tabs>
          <w:tab w:val="left" w:pos="4966"/>
        </w:tabs>
        <w:autoSpaceDE w:val="0"/>
        <w:autoSpaceDN w:val="0"/>
        <w:spacing w:before="6"/>
        <w:rPr>
          <w:rFonts w:ascii="Arial MT" w:eastAsia="Arial MT" w:hAnsi="Arial MT" w:cs="Arial MT"/>
          <w:sz w:val="22"/>
          <w:szCs w:val="22"/>
          <w:lang w:val="es-ES" w:eastAsia="en-US"/>
        </w:rPr>
      </w:pPr>
      <w:r w:rsidRPr="00734696">
        <w:rPr>
          <w:rFonts w:ascii="Arial MT" w:eastAsia="Arial MT" w:hAnsi="Arial MT" w:cs="Arial MT"/>
          <w:sz w:val="22"/>
          <w:szCs w:val="22"/>
          <w:lang w:val="es-ES" w:eastAsia="en-US"/>
        </w:rPr>
        <w:t>Concejal</w:t>
      </w:r>
      <w:r w:rsidRPr="00734696">
        <w:rPr>
          <w:rFonts w:ascii="Arial MT" w:eastAsia="Arial MT" w:hAnsi="Arial MT" w:cs="Arial MT"/>
          <w:spacing w:val="-5"/>
          <w:sz w:val="22"/>
          <w:szCs w:val="22"/>
          <w:lang w:val="es-ES" w:eastAsia="en-US"/>
        </w:rPr>
        <w:t xml:space="preserve"> </w:t>
      </w:r>
      <w:r w:rsidRPr="00734696">
        <w:rPr>
          <w:rFonts w:ascii="Arial MT" w:eastAsia="Arial MT" w:hAnsi="Arial MT" w:cs="Arial MT"/>
          <w:sz w:val="22"/>
          <w:szCs w:val="22"/>
          <w:lang w:val="es-ES" w:eastAsia="en-US"/>
        </w:rPr>
        <w:t>de</w:t>
      </w:r>
      <w:r w:rsidRPr="00734696">
        <w:rPr>
          <w:rFonts w:ascii="Arial MT" w:eastAsia="Arial MT" w:hAnsi="Arial MT" w:cs="Arial MT"/>
          <w:spacing w:val="-4"/>
          <w:sz w:val="22"/>
          <w:szCs w:val="22"/>
          <w:lang w:val="es-ES" w:eastAsia="en-US"/>
        </w:rPr>
        <w:t xml:space="preserve"> </w:t>
      </w:r>
      <w:r w:rsidRPr="00734696">
        <w:rPr>
          <w:rFonts w:ascii="Arial MT" w:eastAsia="Arial MT" w:hAnsi="Arial MT" w:cs="Arial MT"/>
          <w:spacing w:val="-2"/>
          <w:sz w:val="22"/>
          <w:szCs w:val="22"/>
          <w:lang w:val="es-ES" w:eastAsia="en-US"/>
        </w:rPr>
        <w:t>Bogotá</w:t>
      </w:r>
      <w:r w:rsidRPr="00734696">
        <w:rPr>
          <w:rFonts w:ascii="Arial MT" w:eastAsia="Arial MT" w:hAnsi="Arial MT" w:cs="Arial MT"/>
          <w:sz w:val="22"/>
          <w:szCs w:val="22"/>
          <w:lang w:val="es-ES" w:eastAsia="en-US"/>
        </w:rPr>
        <w:tab/>
        <w:t>Concejal</w:t>
      </w:r>
      <w:r>
        <w:rPr>
          <w:rFonts w:ascii="Arial MT" w:eastAsia="Arial MT" w:hAnsi="Arial MT" w:cs="Arial MT"/>
          <w:sz w:val="22"/>
          <w:szCs w:val="22"/>
          <w:lang w:val="es-ES" w:eastAsia="en-US"/>
        </w:rPr>
        <w:t>a</w:t>
      </w:r>
      <w:r w:rsidRPr="00734696">
        <w:rPr>
          <w:rFonts w:ascii="Arial MT" w:eastAsia="Arial MT" w:hAnsi="Arial MT" w:cs="Arial MT"/>
          <w:spacing w:val="-7"/>
          <w:sz w:val="22"/>
          <w:szCs w:val="22"/>
          <w:lang w:val="es-ES" w:eastAsia="en-US"/>
        </w:rPr>
        <w:t xml:space="preserve"> </w:t>
      </w:r>
      <w:r w:rsidRPr="00734696">
        <w:rPr>
          <w:rFonts w:ascii="Arial MT" w:eastAsia="Arial MT" w:hAnsi="Arial MT" w:cs="Arial MT"/>
          <w:sz w:val="22"/>
          <w:szCs w:val="22"/>
          <w:lang w:val="es-ES" w:eastAsia="en-US"/>
        </w:rPr>
        <w:t>de</w:t>
      </w:r>
      <w:r w:rsidRPr="00734696">
        <w:rPr>
          <w:rFonts w:ascii="Arial MT" w:eastAsia="Arial MT" w:hAnsi="Arial MT" w:cs="Arial MT"/>
          <w:spacing w:val="-4"/>
          <w:sz w:val="22"/>
          <w:szCs w:val="22"/>
          <w:lang w:val="es-ES" w:eastAsia="en-US"/>
        </w:rPr>
        <w:t xml:space="preserve"> </w:t>
      </w:r>
      <w:r w:rsidRPr="00734696">
        <w:rPr>
          <w:rFonts w:ascii="Arial MT" w:eastAsia="Arial MT" w:hAnsi="Arial MT" w:cs="Arial MT"/>
          <w:spacing w:val="-2"/>
          <w:sz w:val="22"/>
          <w:szCs w:val="22"/>
          <w:lang w:val="es-ES" w:eastAsia="en-US"/>
        </w:rPr>
        <w:t>Bogotá</w:t>
      </w:r>
    </w:p>
    <w:p w14:paraId="402E5448" w14:textId="1A9C092A" w:rsidR="00734696" w:rsidRDefault="00415C39" w:rsidP="00415C39">
      <w:pPr>
        <w:widowControl w:val="0"/>
        <w:tabs>
          <w:tab w:val="left" w:pos="4966"/>
        </w:tabs>
        <w:autoSpaceDE w:val="0"/>
        <w:autoSpaceDN w:val="0"/>
        <w:spacing w:before="1"/>
        <w:ind w:left="2"/>
        <w:outlineLvl w:val="0"/>
        <w:rPr>
          <w:rFonts w:ascii="Arial MT" w:eastAsia="Arial MT" w:hAnsi="Arial MT" w:cs="Arial MT"/>
          <w:sz w:val="22"/>
          <w:szCs w:val="22"/>
          <w:lang w:val="es-ES" w:eastAsia="en-US"/>
        </w:rPr>
      </w:pPr>
      <w:r>
        <w:rPr>
          <w:rFonts w:ascii="Arial MT" w:eastAsia="Arial MT" w:hAnsi="Arial MT" w:cs="Arial MT"/>
          <w:sz w:val="22"/>
          <w:szCs w:val="22"/>
          <w:lang w:val="es-ES" w:eastAsia="en-US"/>
        </w:rPr>
        <w:t xml:space="preserve">Autor                                                                         </w:t>
      </w:r>
    </w:p>
    <w:p w14:paraId="3E0AE819" w14:textId="44E7DC80" w:rsidR="00B072FF" w:rsidRPr="00734696" w:rsidRDefault="00B072FF" w:rsidP="00734696">
      <w:pPr>
        <w:widowControl w:val="0"/>
        <w:autoSpaceDE w:val="0"/>
        <w:autoSpaceDN w:val="0"/>
        <w:rPr>
          <w:rFonts w:ascii="Arial MT" w:eastAsia="Arial MT" w:hAnsi="Arial MT" w:cs="Arial MT"/>
          <w:sz w:val="22"/>
          <w:szCs w:val="22"/>
          <w:lang w:val="es-ES" w:eastAsia="en-US"/>
        </w:rPr>
      </w:pPr>
    </w:p>
    <w:p w14:paraId="4C6434BC" w14:textId="19118809" w:rsidR="00734696" w:rsidRPr="00734696" w:rsidRDefault="00734696" w:rsidP="00734696">
      <w:pPr>
        <w:widowControl w:val="0"/>
        <w:autoSpaceDE w:val="0"/>
        <w:autoSpaceDN w:val="0"/>
        <w:spacing w:before="21"/>
        <w:rPr>
          <w:rFonts w:ascii="Arial MT" w:eastAsia="Arial MT" w:hAnsi="Arial MT" w:cs="Arial MT"/>
          <w:sz w:val="22"/>
          <w:szCs w:val="22"/>
          <w:lang w:val="es-ES" w:eastAsia="en-US"/>
        </w:rPr>
      </w:pPr>
    </w:p>
    <w:p w14:paraId="39C5E006" w14:textId="186B8C64" w:rsidR="00415C39" w:rsidRPr="00415C39" w:rsidRDefault="00734696" w:rsidP="00415C39">
      <w:pPr>
        <w:widowControl w:val="0"/>
        <w:tabs>
          <w:tab w:val="left" w:pos="4966"/>
        </w:tabs>
        <w:autoSpaceDE w:val="0"/>
        <w:autoSpaceDN w:val="0"/>
        <w:spacing w:before="1"/>
        <w:ind w:left="2"/>
        <w:outlineLvl w:val="0"/>
        <w:rPr>
          <w:rFonts w:ascii="Arial" w:eastAsia="Arial" w:hAnsi="Arial" w:cs="Arial"/>
          <w:b/>
          <w:bCs/>
          <w:sz w:val="22"/>
          <w:szCs w:val="22"/>
          <w:lang w:val="es-ES" w:eastAsia="en-US"/>
        </w:rPr>
      </w:pPr>
      <w:r w:rsidRPr="00734696">
        <w:rPr>
          <w:rFonts w:ascii="Arial" w:eastAsia="Arial" w:hAnsi="Arial" w:cs="Arial"/>
          <w:b/>
          <w:bCs/>
          <w:sz w:val="22"/>
          <w:szCs w:val="22"/>
          <w:lang w:val="es-ES" w:eastAsia="en-US"/>
        </w:rPr>
        <w:t>JUAN</w:t>
      </w:r>
      <w:r w:rsidRPr="00734696">
        <w:rPr>
          <w:rFonts w:ascii="Arial" w:eastAsia="Arial" w:hAnsi="Arial" w:cs="Arial"/>
          <w:b/>
          <w:bCs/>
          <w:spacing w:val="-5"/>
          <w:sz w:val="22"/>
          <w:szCs w:val="22"/>
          <w:lang w:val="es-ES" w:eastAsia="en-US"/>
        </w:rPr>
        <w:t xml:space="preserve"> </w:t>
      </w:r>
      <w:r w:rsidRPr="00734696">
        <w:rPr>
          <w:rFonts w:ascii="Arial" w:eastAsia="Arial" w:hAnsi="Arial" w:cs="Arial"/>
          <w:b/>
          <w:bCs/>
          <w:sz w:val="22"/>
          <w:szCs w:val="22"/>
          <w:lang w:val="es-ES" w:eastAsia="en-US"/>
        </w:rPr>
        <w:t>MANUEL</w:t>
      </w:r>
      <w:r w:rsidRPr="00734696">
        <w:rPr>
          <w:rFonts w:ascii="Arial" w:eastAsia="Arial" w:hAnsi="Arial" w:cs="Arial"/>
          <w:b/>
          <w:bCs/>
          <w:spacing w:val="-4"/>
          <w:sz w:val="22"/>
          <w:szCs w:val="22"/>
          <w:lang w:val="es-ES" w:eastAsia="en-US"/>
        </w:rPr>
        <w:t xml:space="preserve"> </w:t>
      </w:r>
      <w:r w:rsidRPr="00734696">
        <w:rPr>
          <w:rFonts w:ascii="Arial" w:eastAsia="Arial" w:hAnsi="Arial" w:cs="Arial"/>
          <w:b/>
          <w:bCs/>
          <w:sz w:val="22"/>
          <w:szCs w:val="22"/>
          <w:lang w:val="es-ES" w:eastAsia="en-US"/>
        </w:rPr>
        <w:t>DÍAZ</w:t>
      </w:r>
      <w:r w:rsidRPr="00734696">
        <w:rPr>
          <w:rFonts w:ascii="Arial" w:eastAsia="Arial" w:hAnsi="Arial" w:cs="Arial"/>
          <w:b/>
          <w:bCs/>
          <w:spacing w:val="-4"/>
          <w:sz w:val="22"/>
          <w:szCs w:val="22"/>
          <w:lang w:val="es-ES" w:eastAsia="en-US"/>
        </w:rPr>
        <w:t xml:space="preserve"> </w:t>
      </w:r>
      <w:r w:rsidRPr="00734696">
        <w:rPr>
          <w:rFonts w:ascii="Arial" w:eastAsia="Arial" w:hAnsi="Arial" w:cs="Arial"/>
          <w:b/>
          <w:bCs/>
          <w:spacing w:val="-2"/>
          <w:sz w:val="22"/>
          <w:szCs w:val="22"/>
          <w:lang w:val="es-ES" w:eastAsia="en-US"/>
        </w:rPr>
        <w:t>MARTÍNEZ</w:t>
      </w:r>
      <w:r w:rsidRPr="00734696">
        <w:rPr>
          <w:rFonts w:ascii="Arial" w:eastAsia="Arial" w:hAnsi="Arial" w:cs="Arial"/>
          <w:b/>
          <w:bCs/>
          <w:sz w:val="22"/>
          <w:szCs w:val="22"/>
          <w:lang w:val="es-ES" w:eastAsia="en-US"/>
        </w:rPr>
        <w:tab/>
      </w:r>
      <w:r w:rsidR="00415C39" w:rsidRPr="00734696">
        <w:rPr>
          <w:rFonts w:ascii="Arial" w:eastAsia="Arial" w:hAnsi="Arial" w:cs="Arial"/>
          <w:b/>
          <w:bCs/>
          <w:sz w:val="22"/>
          <w:szCs w:val="22"/>
          <w:lang w:val="es-ES" w:eastAsia="en-US"/>
        </w:rPr>
        <w:t>JUAN</w:t>
      </w:r>
      <w:r w:rsidR="00415C39" w:rsidRPr="00734696">
        <w:rPr>
          <w:rFonts w:ascii="Arial" w:eastAsia="Arial" w:hAnsi="Arial" w:cs="Arial"/>
          <w:b/>
          <w:bCs/>
          <w:spacing w:val="-6"/>
          <w:sz w:val="22"/>
          <w:szCs w:val="22"/>
          <w:lang w:val="es-ES" w:eastAsia="en-US"/>
        </w:rPr>
        <w:t xml:space="preserve"> </w:t>
      </w:r>
      <w:r w:rsidR="00415C39" w:rsidRPr="00734696">
        <w:rPr>
          <w:rFonts w:ascii="Arial" w:eastAsia="Arial" w:hAnsi="Arial" w:cs="Arial"/>
          <w:b/>
          <w:bCs/>
          <w:sz w:val="22"/>
          <w:szCs w:val="22"/>
          <w:lang w:val="es-ES" w:eastAsia="en-US"/>
        </w:rPr>
        <w:t>JAVIER</w:t>
      </w:r>
      <w:r w:rsidR="00415C39" w:rsidRPr="00734696">
        <w:rPr>
          <w:rFonts w:ascii="Arial" w:eastAsia="Arial" w:hAnsi="Arial" w:cs="Arial"/>
          <w:b/>
          <w:bCs/>
          <w:spacing w:val="-4"/>
          <w:sz w:val="22"/>
          <w:szCs w:val="22"/>
          <w:lang w:val="es-ES" w:eastAsia="en-US"/>
        </w:rPr>
        <w:t xml:space="preserve"> </w:t>
      </w:r>
      <w:r w:rsidR="00415C39" w:rsidRPr="00734696">
        <w:rPr>
          <w:rFonts w:ascii="Arial" w:eastAsia="Arial" w:hAnsi="Arial" w:cs="Arial"/>
          <w:b/>
          <w:bCs/>
          <w:sz w:val="22"/>
          <w:szCs w:val="22"/>
          <w:lang w:val="es-ES" w:eastAsia="en-US"/>
        </w:rPr>
        <w:t>BAENA</w:t>
      </w:r>
      <w:r w:rsidR="00415C39" w:rsidRPr="00734696">
        <w:rPr>
          <w:rFonts w:ascii="Arial" w:eastAsia="Arial" w:hAnsi="Arial" w:cs="Arial"/>
          <w:b/>
          <w:bCs/>
          <w:spacing w:val="-6"/>
          <w:sz w:val="22"/>
          <w:szCs w:val="22"/>
          <w:lang w:val="es-ES" w:eastAsia="en-US"/>
        </w:rPr>
        <w:t xml:space="preserve"> </w:t>
      </w:r>
      <w:r w:rsidR="00415C39" w:rsidRPr="00734696">
        <w:rPr>
          <w:rFonts w:ascii="Arial" w:eastAsia="Arial" w:hAnsi="Arial" w:cs="Arial"/>
          <w:b/>
          <w:bCs/>
          <w:spacing w:val="-2"/>
          <w:sz w:val="22"/>
          <w:szCs w:val="22"/>
          <w:lang w:val="es-ES" w:eastAsia="en-US"/>
        </w:rPr>
        <w:t>MERLANO</w:t>
      </w:r>
      <w:r w:rsidR="00415C39">
        <w:rPr>
          <w:rFonts w:ascii="Arial MT" w:eastAsia="Arial MT" w:hAnsi="Arial MT" w:cs="Arial MT"/>
          <w:sz w:val="22"/>
          <w:szCs w:val="22"/>
          <w:lang w:val="es-ES" w:eastAsia="en-US"/>
        </w:rPr>
        <w:t xml:space="preserve">                                                                  </w:t>
      </w:r>
    </w:p>
    <w:p w14:paraId="356E2215" w14:textId="32F8E515" w:rsidR="00415C39" w:rsidRPr="00734696" w:rsidRDefault="002D3B2F" w:rsidP="00415C39">
      <w:pPr>
        <w:widowControl w:val="0"/>
        <w:tabs>
          <w:tab w:val="left" w:pos="4966"/>
        </w:tabs>
        <w:autoSpaceDE w:val="0"/>
        <w:autoSpaceDN w:val="0"/>
        <w:ind w:left="2"/>
        <w:outlineLvl w:val="0"/>
        <w:rPr>
          <w:rFonts w:ascii="Arial MT" w:eastAsia="Arial MT" w:hAnsi="Arial MT" w:cs="Arial MT"/>
          <w:sz w:val="22"/>
          <w:szCs w:val="22"/>
          <w:lang w:val="es-ES" w:eastAsia="en-US"/>
        </w:rPr>
      </w:pPr>
      <w:r>
        <w:rPr>
          <w:noProof/>
          <w:lang w:eastAsia="es-CO"/>
        </w:rPr>
        <w:drawing>
          <wp:anchor distT="0" distB="0" distL="114300" distR="114300" simplePos="0" relativeHeight="251680768" behindDoc="0" locked="0" layoutInCell="1" allowOverlap="1" wp14:anchorId="58E3E622" wp14:editId="71705B53">
            <wp:simplePos x="0" y="0"/>
            <wp:positionH relativeFrom="column">
              <wp:posOffset>177165</wp:posOffset>
            </wp:positionH>
            <wp:positionV relativeFrom="paragraph">
              <wp:posOffset>108585</wp:posOffset>
            </wp:positionV>
            <wp:extent cx="1119505" cy="963930"/>
            <wp:effectExtent l="0" t="0" r="4445" b="7620"/>
            <wp:wrapNone/>
            <wp:docPr id="80" name="Image 68"/>
            <wp:cNvGraphicFramePr/>
            <a:graphic xmlns:a="http://schemas.openxmlformats.org/drawingml/2006/main">
              <a:graphicData uri="http://schemas.openxmlformats.org/drawingml/2006/picture">
                <pic:pic xmlns:pic="http://schemas.openxmlformats.org/drawingml/2006/picture">
                  <pic:nvPicPr>
                    <pic:cNvPr id="68" name="Image 68"/>
                    <pic:cNvPicPr/>
                  </pic:nvPicPr>
                  <pic:blipFill>
                    <a:blip r:embed="rId28" cstate="print"/>
                    <a:stretch>
                      <a:fillRect/>
                    </a:stretch>
                  </pic:blipFill>
                  <pic:spPr>
                    <a:xfrm>
                      <a:off x="0" y="0"/>
                      <a:ext cx="1119505" cy="963930"/>
                    </a:xfrm>
                    <a:prstGeom prst="rect">
                      <a:avLst/>
                    </a:prstGeom>
                  </pic:spPr>
                </pic:pic>
              </a:graphicData>
            </a:graphic>
          </wp:anchor>
        </w:drawing>
      </w:r>
      <w:r w:rsidR="00415C39" w:rsidRPr="00734696">
        <w:rPr>
          <w:rFonts w:ascii="Arial MT" w:eastAsia="Arial MT" w:hAnsi="Arial MT" w:cs="Arial MT"/>
          <w:sz w:val="22"/>
          <w:szCs w:val="22"/>
          <w:lang w:val="es-ES" w:eastAsia="en-US"/>
        </w:rPr>
        <w:t>Concejal</w:t>
      </w:r>
      <w:r w:rsidR="00415C39" w:rsidRPr="00734696">
        <w:rPr>
          <w:rFonts w:ascii="Arial MT" w:eastAsia="Arial MT" w:hAnsi="Arial MT" w:cs="Arial MT"/>
          <w:spacing w:val="-5"/>
          <w:sz w:val="22"/>
          <w:szCs w:val="22"/>
          <w:lang w:val="es-ES" w:eastAsia="en-US"/>
        </w:rPr>
        <w:t xml:space="preserve"> </w:t>
      </w:r>
      <w:r w:rsidR="00415C39" w:rsidRPr="00734696">
        <w:rPr>
          <w:rFonts w:ascii="Arial MT" w:eastAsia="Arial MT" w:hAnsi="Arial MT" w:cs="Arial MT"/>
          <w:sz w:val="22"/>
          <w:szCs w:val="22"/>
          <w:lang w:val="es-ES" w:eastAsia="en-US"/>
        </w:rPr>
        <w:t>de</w:t>
      </w:r>
      <w:r w:rsidR="00415C39" w:rsidRPr="00734696">
        <w:rPr>
          <w:rFonts w:ascii="Arial MT" w:eastAsia="Arial MT" w:hAnsi="Arial MT" w:cs="Arial MT"/>
          <w:spacing w:val="-4"/>
          <w:sz w:val="22"/>
          <w:szCs w:val="22"/>
          <w:lang w:val="es-ES" w:eastAsia="en-US"/>
        </w:rPr>
        <w:t xml:space="preserve"> </w:t>
      </w:r>
      <w:r w:rsidR="00415C39" w:rsidRPr="00734696">
        <w:rPr>
          <w:rFonts w:ascii="Arial MT" w:eastAsia="Arial MT" w:hAnsi="Arial MT" w:cs="Arial MT"/>
          <w:spacing w:val="-2"/>
          <w:sz w:val="22"/>
          <w:szCs w:val="22"/>
          <w:lang w:val="es-ES" w:eastAsia="en-US"/>
        </w:rPr>
        <w:t>Bogotá</w:t>
      </w:r>
      <w:r w:rsidR="00415C39" w:rsidRPr="00734696">
        <w:rPr>
          <w:rFonts w:ascii="Arial MT" w:eastAsia="Arial MT" w:hAnsi="Arial MT" w:cs="Arial MT"/>
          <w:sz w:val="22"/>
          <w:szCs w:val="22"/>
          <w:lang w:val="es-ES" w:eastAsia="en-US"/>
        </w:rPr>
        <w:tab/>
        <w:t>Concejal</w:t>
      </w:r>
      <w:r w:rsidR="00415C39" w:rsidRPr="00734696">
        <w:rPr>
          <w:rFonts w:ascii="Arial MT" w:eastAsia="Arial MT" w:hAnsi="Arial MT" w:cs="Arial MT"/>
          <w:spacing w:val="-7"/>
          <w:sz w:val="22"/>
          <w:szCs w:val="22"/>
          <w:lang w:val="es-ES" w:eastAsia="en-US"/>
        </w:rPr>
        <w:t xml:space="preserve"> </w:t>
      </w:r>
      <w:r w:rsidR="00415C39" w:rsidRPr="00734696">
        <w:rPr>
          <w:rFonts w:ascii="Arial MT" w:eastAsia="Arial MT" w:hAnsi="Arial MT" w:cs="Arial MT"/>
          <w:sz w:val="22"/>
          <w:szCs w:val="22"/>
          <w:lang w:val="es-ES" w:eastAsia="en-US"/>
        </w:rPr>
        <w:t>de</w:t>
      </w:r>
      <w:r w:rsidR="00415C39" w:rsidRPr="00734696">
        <w:rPr>
          <w:rFonts w:ascii="Arial MT" w:eastAsia="Arial MT" w:hAnsi="Arial MT" w:cs="Arial MT"/>
          <w:spacing w:val="-4"/>
          <w:sz w:val="22"/>
          <w:szCs w:val="22"/>
          <w:lang w:val="es-ES" w:eastAsia="en-US"/>
        </w:rPr>
        <w:t xml:space="preserve"> </w:t>
      </w:r>
      <w:r w:rsidR="00415C39" w:rsidRPr="00734696">
        <w:rPr>
          <w:rFonts w:ascii="Arial MT" w:eastAsia="Arial MT" w:hAnsi="Arial MT" w:cs="Arial MT"/>
          <w:spacing w:val="-2"/>
          <w:sz w:val="22"/>
          <w:szCs w:val="22"/>
          <w:lang w:val="es-ES" w:eastAsia="en-US"/>
        </w:rPr>
        <w:t>Bogotá</w:t>
      </w:r>
    </w:p>
    <w:p w14:paraId="5D1E41A4" w14:textId="43D24F4A" w:rsidR="00415C39" w:rsidRDefault="002D3B2F" w:rsidP="00415C39">
      <w:pPr>
        <w:widowControl w:val="0"/>
        <w:autoSpaceDE w:val="0"/>
        <w:autoSpaceDN w:val="0"/>
        <w:rPr>
          <w:rFonts w:ascii="Arial MT" w:eastAsia="Arial MT" w:hAnsi="Arial MT" w:cs="Arial MT"/>
          <w:sz w:val="22"/>
          <w:szCs w:val="22"/>
          <w:lang w:val="es-ES" w:eastAsia="en-US"/>
        </w:rPr>
      </w:pPr>
      <w:r>
        <w:rPr>
          <w:noProof/>
          <w:lang w:eastAsia="es-CO"/>
        </w:rPr>
        <w:drawing>
          <wp:anchor distT="0" distB="0" distL="0" distR="0" simplePos="0" relativeHeight="251682816" behindDoc="0" locked="0" layoutInCell="1" allowOverlap="1" wp14:anchorId="16C0996E" wp14:editId="45926FF4">
            <wp:simplePos x="0" y="0"/>
            <wp:positionH relativeFrom="page">
              <wp:posOffset>4471035</wp:posOffset>
            </wp:positionH>
            <wp:positionV relativeFrom="paragraph">
              <wp:posOffset>1905</wp:posOffset>
            </wp:positionV>
            <wp:extent cx="1537855" cy="755089"/>
            <wp:effectExtent l="0" t="0" r="5715" b="6985"/>
            <wp:wrapNone/>
            <wp:docPr id="79" name="Image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0" name="Image 70"/>
                    <pic:cNvPicPr/>
                  </pic:nvPicPr>
                  <pic:blipFill>
                    <a:blip r:embed="rId29" cstate="print"/>
                    <a:stretch>
                      <a:fillRect/>
                    </a:stretch>
                  </pic:blipFill>
                  <pic:spPr>
                    <a:xfrm>
                      <a:off x="0" y="0"/>
                      <a:ext cx="1537855" cy="755089"/>
                    </a:xfrm>
                    <a:prstGeom prst="rect">
                      <a:avLst/>
                    </a:prstGeom>
                  </pic:spPr>
                </pic:pic>
              </a:graphicData>
            </a:graphic>
          </wp:anchor>
        </w:drawing>
      </w:r>
    </w:p>
    <w:p w14:paraId="5614C5E3" w14:textId="43E00C65" w:rsidR="00B072FF" w:rsidRPr="00734696" w:rsidRDefault="00B072FF" w:rsidP="00734696">
      <w:pPr>
        <w:widowControl w:val="0"/>
        <w:autoSpaceDE w:val="0"/>
        <w:autoSpaceDN w:val="0"/>
        <w:rPr>
          <w:rFonts w:ascii="Arial MT" w:eastAsia="Arial MT" w:hAnsi="Arial MT" w:cs="Arial MT"/>
          <w:sz w:val="22"/>
          <w:szCs w:val="22"/>
          <w:lang w:val="es-ES" w:eastAsia="en-US"/>
        </w:rPr>
      </w:pPr>
    </w:p>
    <w:p w14:paraId="0CE3C1DD" w14:textId="4F6C9FB8" w:rsidR="00734696" w:rsidRPr="00734696" w:rsidRDefault="002D3B2F" w:rsidP="00734696">
      <w:pPr>
        <w:widowControl w:val="0"/>
        <w:autoSpaceDE w:val="0"/>
        <w:autoSpaceDN w:val="0"/>
        <w:spacing w:before="21"/>
        <w:rPr>
          <w:rFonts w:ascii="Arial MT" w:eastAsia="Arial MT" w:hAnsi="Arial MT" w:cs="Arial MT"/>
          <w:sz w:val="22"/>
          <w:szCs w:val="22"/>
          <w:lang w:val="es-ES" w:eastAsia="en-US"/>
        </w:rPr>
      </w:pPr>
      <w:r>
        <w:rPr>
          <w:noProof/>
          <w:lang w:eastAsia="es-CO"/>
        </w:rPr>
        <w:drawing>
          <wp:anchor distT="0" distB="0" distL="114300" distR="114300" simplePos="0" relativeHeight="251684864" behindDoc="1" locked="0" layoutInCell="1" allowOverlap="1" wp14:anchorId="64A63BE0" wp14:editId="44B71348">
            <wp:simplePos x="0" y="0"/>
            <wp:positionH relativeFrom="column">
              <wp:posOffset>161925</wp:posOffset>
            </wp:positionH>
            <wp:positionV relativeFrom="paragraph">
              <wp:posOffset>12700</wp:posOffset>
            </wp:positionV>
            <wp:extent cx="1658641" cy="1487663"/>
            <wp:effectExtent l="0" t="0" r="0" b="0"/>
            <wp:wrapNone/>
            <wp:docPr id="81" name="Image 69"/>
            <wp:cNvGraphicFramePr/>
            <a:graphic xmlns:a="http://schemas.openxmlformats.org/drawingml/2006/main">
              <a:graphicData uri="http://schemas.openxmlformats.org/drawingml/2006/picture">
                <pic:pic xmlns:pic="http://schemas.openxmlformats.org/drawingml/2006/picture">
                  <pic:nvPicPr>
                    <pic:cNvPr id="69" name="Image 69"/>
                    <pic:cNvPicPr/>
                  </pic:nvPicPr>
                  <pic:blipFill>
                    <a:blip r:embed="rId30" cstate="print"/>
                    <a:stretch>
                      <a:fillRect/>
                    </a:stretch>
                  </pic:blipFill>
                  <pic:spPr>
                    <a:xfrm>
                      <a:off x="0" y="0"/>
                      <a:ext cx="1658641" cy="1487663"/>
                    </a:xfrm>
                    <a:prstGeom prst="rect">
                      <a:avLst/>
                    </a:prstGeom>
                  </pic:spPr>
                </pic:pic>
              </a:graphicData>
            </a:graphic>
          </wp:anchor>
        </w:drawing>
      </w:r>
    </w:p>
    <w:p w14:paraId="1890F475" w14:textId="015071AC" w:rsidR="00734696" w:rsidRPr="00734696" w:rsidRDefault="00734696" w:rsidP="00734696">
      <w:pPr>
        <w:widowControl w:val="0"/>
        <w:tabs>
          <w:tab w:val="left" w:pos="4966"/>
        </w:tabs>
        <w:autoSpaceDE w:val="0"/>
        <w:autoSpaceDN w:val="0"/>
        <w:ind w:left="2"/>
        <w:outlineLvl w:val="0"/>
        <w:rPr>
          <w:rFonts w:ascii="Arial" w:eastAsia="Arial" w:hAnsi="Arial" w:cs="Arial"/>
          <w:b/>
          <w:bCs/>
          <w:sz w:val="22"/>
          <w:szCs w:val="22"/>
          <w:lang w:val="es-ES" w:eastAsia="en-US"/>
        </w:rPr>
      </w:pPr>
      <w:r w:rsidRPr="00734696">
        <w:rPr>
          <w:rFonts w:ascii="Arial" w:eastAsia="Arial" w:hAnsi="Arial" w:cs="Arial"/>
          <w:b/>
          <w:bCs/>
          <w:sz w:val="22"/>
          <w:szCs w:val="22"/>
          <w:lang w:val="es-ES" w:eastAsia="en-US"/>
        </w:rPr>
        <w:t>JESÚS</w:t>
      </w:r>
      <w:r w:rsidRPr="00734696">
        <w:rPr>
          <w:rFonts w:ascii="Arial" w:eastAsia="Arial" w:hAnsi="Arial" w:cs="Arial"/>
          <w:b/>
          <w:bCs/>
          <w:spacing w:val="-6"/>
          <w:sz w:val="22"/>
          <w:szCs w:val="22"/>
          <w:lang w:val="es-ES" w:eastAsia="en-US"/>
        </w:rPr>
        <w:t xml:space="preserve"> </w:t>
      </w:r>
      <w:r w:rsidRPr="00734696">
        <w:rPr>
          <w:rFonts w:ascii="Arial" w:eastAsia="Arial" w:hAnsi="Arial" w:cs="Arial"/>
          <w:b/>
          <w:bCs/>
          <w:sz w:val="22"/>
          <w:szCs w:val="22"/>
          <w:lang w:val="es-ES" w:eastAsia="en-US"/>
        </w:rPr>
        <w:t>DAVID</w:t>
      </w:r>
      <w:r w:rsidRPr="00734696">
        <w:rPr>
          <w:rFonts w:ascii="Arial" w:eastAsia="Arial" w:hAnsi="Arial" w:cs="Arial"/>
          <w:b/>
          <w:bCs/>
          <w:spacing w:val="-4"/>
          <w:sz w:val="22"/>
          <w:szCs w:val="22"/>
          <w:lang w:val="es-ES" w:eastAsia="en-US"/>
        </w:rPr>
        <w:t xml:space="preserve"> </w:t>
      </w:r>
      <w:r w:rsidRPr="00734696">
        <w:rPr>
          <w:rFonts w:ascii="Arial" w:eastAsia="Arial" w:hAnsi="Arial" w:cs="Arial"/>
          <w:b/>
          <w:bCs/>
          <w:sz w:val="22"/>
          <w:szCs w:val="22"/>
          <w:lang w:val="es-ES" w:eastAsia="en-US"/>
        </w:rPr>
        <w:t>ARAQUE</w:t>
      </w:r>
      <w:r w:rsidRPr="00734696">
        <w:rPr>
          <w:rFonts w:ascii="Arial" w:eastAsia="Arial" w:hAnsi="Arial" w:cs="Arial"/>
          <w:b/>
          <w:bCs/>
          <w:spacing w:val="-5"/>
          <w:sz w:val="22"/>
          <w:szCs w:val="22"/>
          <w:lang w:val="es-ES" w:eastAsia="en-US"/>
        </w:rPr>
        <w:t xml:space="preserve"> </w:t>
      </w:r>
      <w:r w:rsidRPr="00734696">
        <w:rPr>
          <w:rFonts w:ascii="Arial" w:eastAsia="Arial" w:hAnsi="Arial" w:cs="Arial"/>
          <w:b/>
          <w:bCs/>
          <w:spacing w:val="-4"/>
          <w:sz w:val="22"/>
          <w:szCs w:val="22"/>
          <w:lang w:val="es-ES" w:eastAsia="en-US"/>
        </w:rPr>
        <w:t>MEJÍA</w:t>
      </w:r>
      <w:r w:rsidRPr="00734696">
        <w:rPr>
          <w:rFonts w:ascii="Arial" w:eastAsia="Arial" w:hAnsi="Arial" w:cs="Arial"/>
          <w:b/>
          <w:bCs/>
          <w:sz w:val="22"/>
          <w:szCs w:val="22"/>
          <w:lang w:val="es-ES" w:eastAsia="en-US"/>
        </w:rPr>
        <w:tab/>
        <w:t>FERNANDO</w:t>
      </w:r>
      <w:r w:rsidRPr="00734696">
        <w:rPr>
          <w:rFonts w:ascii="Arial" w:eastAsia="Arial" w:hAnsi="Arial" w:cs="Arial"/>
          <w:b/>
          <w:bCs/>
          <w:spacing w:val="-7"/>
          <w:sz w:val="22"/>
          <w:szCs w:val="22"/>
          <w:lang w:val="es-ES" w:eastAsia="en-US"/>
        </w:rPr>
        <w:t xml:space="preserve"> </w:t>
      </w:r>
      <w:r w:rsidRPr="00734696">
        <w:rPr>
          <w:rFonts w:ascii="Arial" w:eastAsia="Arial" w:hAnsi="Arial" w:cs="Arial"/>
          <w:b/>
          <w:bCs/>
          <w:sz w:val="22"/>
          <w:szCs w:val="22"/>
          <w:lang w:val="es-ES" w:eastAsia="en-US"/>
        </w:rPr>
        <w:t>LÓPEZ</w:t>
      </w:r>
      <w:r w:rsidRPr="00734696">
        <w:rPr>
          <w:rFonts w:ascii="Arial" w:eastAsia="Arial" w:hAnsi="Arial" w:cs="Arial"/>
          <w:b/>
          <w:bCs/>
          <w:spacing w:val="-8"/>
          <w:sz w:val="22"/>
          <w:szCs w:val="22"/>
          <w:lang w:val="es-ES" w:eastAsia="en-US"/>
        </w:rPr>
        <w:t xml:space="preserve"> </w:t>
      </w:r>
      <w:r w:rsidRPr="00734696">
        <w:rPr>
          <w:rFonts w:ascii="Arial" w:eastAsia="Arial" w:hAnsi="Arial" w:cs="Arial"/>
          <w:b/>
          <w:bCs/>
          <w:spacing w:val="-2"/>
          <w:sz w:val="22"/>
          <w:szCs w:val="22"/>
          <w:lang w:val="es-ES" w:eastAsia="en-US"/>
        </w:rPr>
        <w:t>GUTIÉRREZ</w:t>
      </w:r>
    </w:p>
    <w:p w14:paraId="0BFEF6B0" w14:textId="41556949" w:rsidR="00734696" w:rsidRPr="00734696" w:rsidRDefault="00734696" w:rsidP="00734696">
      <w:pPr>
        <w:widowControl w:val="0"/>
        <w:tabs>
          <w:tab w:val="left" w:pos="4966"/>
        </w:tabs>
        <w:autoSpaceDE w:val="0"/>
        <w:autoSpaceDN w:val="0"/>
        <w:spacing w:before="9"/>
        <w:ind w:left="2"/>
        <w:rPr>
          <w:rFonts w:ascii="Arial MT" w:eastAsia="Arial MT" w:hAnsi="Arial MT" w:cs="Arial MT"/>
          <w:sz w:val="22"/>
          <w:szCs w:val="22"/>
          <w:lang w:val="es-ES" w:eastAsia="en-US"/>
        </w:rPr>
      </w:pPr>
      <w:r w:rsidRPr="00734696">
        <w:rPr>
          <w:rFonts w:ascii="Arial MT" w:eastAsia="Arial MT" w:hAnsi="Arial MT" w:cs="Arial MT"/>
          <w:sz w:val="22"/>
          <w:szCs w:val="22"/>
          <w:lang w:val="es-ES" w:eastAsia="en-US"/>
        </w:rPr>
        <w:t>Concejal</w:t>
      </w:r>
      <w:r w:rsidRPr="00734696">
        <w:rPr>
          <w:rFonts w:ascii="Arial MT" w:eastAsia="Arial MT" w:hAnsi="Arial MT" w:cs="Arial MT"/>
          <w:spacing w:val="-5"/>
          <w:sz w:val="22"/>
          <w:szCs w:val="22"/>
          <w:lang w:val="es-ES" w:eastAsia="en-US"/>
        </w:rPr>
        <w:t xml:space="preserve"> </w:t>
      </w:r>
      <w:r w:rsidRPr="00734696">
        <w:rPr>
          <w:rFonts w:ascii="Arial MT" w:eastAsia="Arial MT" w:hAnsi="Arial MT" w:cs="Arial MT"/>
          <w:sz w:val="22"/>
          <w:szCs w:val="22"/>
          <w:lang w:val="es-ES" w:eastAsia="en-US"/>
        </w:rPr>
        <w:t>de</w:t>
      </w:r>
      <w:r w:rsidRPr="00734696">
        <w:rPr>
          <w:rFonts w:ascii="Arial MT" w:eastAsia="Arial MT" w:hAnsi="Arial MT" w:cs="Arial MT"/>
          <w:spacing w:val="-4"/>
          <w:sz w:val="22"/>
          <w:szCs w:val="22"/>
          <w:lang w:val="es-ES" w:eastAsia="en-US"/>
        </w:rPr>
        <w:t xml:space="preserve"> </w:t>
      </w:r>
      <w:r w:rsidRPr="00734696">
        <w:rPr>
          <w:rFonts w:ascii="Arial MT" w:eastAsia="Arial MT" w:hAnsi="Arial MT" w:cs="Arial MT"/>
          <w:spacing w:val="-2"/>
          <w:sz w:val="22"/>
          <w:szCs w:val="22"/>
          <w:lang w:val="es-ES" w:eastAsia="en-US"/>
        </w:rPr>
        <w:t>Bogotá</w:t>
      </w:r>
      <w:r w:rsidRPr="00734696">
        <w:rPr>
          <w:rFonts w:ascii="Arial MT" w:eastAsia="Arial MT" w:hAnsi="Arial MT" w:cs="Arial MT"/>
          <w:sz w:val="22"/>
          <w:szCs w:val="22"/>
          <w:lang w:val="es-ES" w:eastAsia="en-US"/>
        </w:rPr>
        <w:tab/>
        <w:t>Concejal</w:t>
      </w:r>
      <w:r w:rsidRPr="00734696">
        <w:rPr>
          <w:rFonts w:ascii="Arial MT" w:eastAsia="Arial MT" w:hAnsi="Arial MT" w:cs="Arial MT"/>
          <w:spacing w:val="-7"/>
          <w:sz w:val="22"/>
          <w:szCs w:val="22"/>
          <w:lang w:val="es-ES" w:eastAsia="en-US"/>
        </w:rPr>
        <w:t xml:space="preserve"> </w:t>
      </w:r>
      <w:r w:rsidRPr="00734696">
        <w:rPr>
          <w:rFonts w:ascii="Arial MT" w:eastAsia="Arial MT" w:hAnsi="Arial MT" w:cs="Arial MT"/>
          <w:sz w:val="22"/>
          <w:szCs w:val="22"/>
          <w:lang w:val="es-ES" w:eastAsia="en-US"/>
        </w:rPr>
        <w:t>de</w:t>
      </w:r>
      <w:r w:rsidRPr="00734696">
        <w:rPr>
          <w:rFonts w:ascii="Arial MT" w:eastAsia="Arial MT" w:hAnsi="Arial MT" w:cs="Arial MT"/>
          <w:spacing w:val="-4"/>
          <w:sz w:val="22"/>
          <w:szCs w:val="22"/>
          <w:lang w:val="es-ES" w:eastAsia="en-US"/>
        </w:rPr>
        <w:t xml:space="preserve"> </w:t>
      </w:r>
      <w:r w:rsidRPr="00734696">
        <w:rPr>
          <w:rFonts w:ascii="Arial MT" w:eastAsia="Arial MT" w:hAnsi="Arial MT" w:cs="Arial MT"/>
          <w:spacing w:val="-2"/>
          <w:sz w:val="22"/>
          <w:szCs w:val="22"/>
          <w:lang w:val="es-ES" w:eastAsia="en-US"/>
        </w:rPr>
        <w:t>Bogotá</w:t>
      </w:r>
    </w:p>
    <w:p w14:paraId="4F4A6AAB" w14:textId="63F216F3" w:rsidR="00734696" w:rsidRDefault="002D3B2F" w:rsidP="00734696">
      <w:pPr>
        <w:widowControl w:val="0"/>
        <w:autoSpaceDE w:val="0"/>
        <w:autoSpaceDN w:val="0"/>
        <w:rPr>
          <w:rFonts w:ascii="Arial MT" w:eastAsia="Arial MT" w:hAnsi="Arial MT" w:cs="Arial MT"/>
          <w:sz w:val="22"/>
          <w:szCs w:val="22"/>
          <w:lang w:val="es-ES" w:eastAsia="en-US"/>
        </w:rPr>
      </w:pPr>
      <w:r>
        <w:rPr>
          <w:noProof/>
          <w:lang w:eastAsia="es-CO"/>
        </w:rPr>
        <w:drawing>
          <wp:anchor distT="0" distB="0" distL="0" distR="0" simplePos="0" relativeHeight="251686912" behindDoc="0" locked="0" layoutInCell="1" allowOverlap="1" wp14:anchorId="75A12635" wp14:editId="5672291A">
            <wp:simplePos x="0" y="0"/>
            <wp:positionH relativeFrom="page">
              <wp:posOffset>4499610</wp:posOffset>
            </wp:positionH>
            <wp:positionV relativeFrom="paragraph">
              <wp:posOffset>65405</wp:posOffset>
            </wp:positionV>
            <wp:extent cx="1286255" cy="752855"/>
            <wp:effectExtent l="0" t="0" r="0" b="0"/>
            <wp:wrapNone/>
            <wp:docPr id="77" name="Image 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7" name="Image 77"/>
                    <pic:cNvPicPr/>
                  </pic:nvPicPr>
                  <pic:blipFill>
                    <a:blip r:embed="rId31" cstate="print"/>
                    <a:stretch>
                      <a:fillRect/>
                    </a:stretch>
                  </pic:blipFill>
                  <pic:spPr>
                    <a:xfrm>
                      <a:off x="0" y="0"/>
                      <a:ext cx="1286255" cy="752855"/>
                    </a:xfrm>
                    <a:prstGeom prst="rect">
                      <a:avLst/>
                    </a:prstGeom>
                  </pic:spPr>
                </pic:pic>
              </a:graphicData>
            </a:graphic>
          </wp:anchor>
        </w:drawing>
      </w:r>
    </w:p>
    <w:p w14:paraId="42F00BC9" w14:textId="43EC8689" w:rsidR="00B072FF" w:rsidRPr="00734696" w:rsidRDefault="00B072FF" w:rsidP="00734696">
      <w:pPr>
        <w:widowControl w:val="0"/>
        <w:autoSpaceDE w:val="0"/>
        <w:autoSpaceDN w:val="0"/>
        <w:rPr>
          <w:rFonts w:ascii="Arial MT" w:eastAsia="Arial MT" w:hAnsi="Arial MT" w:cs="Arial MT"/>
          <w:sz w:val="22"/>
          <w:szCs w:val="22"/>
          <w:lang w:val="es-ES" w:eastAsia="en-US"/>
        </w:rPr>
      </w:pPr>
    </w:p>
    <w:p w14:paraId="74EB0CD1" w14:textId="755E4953" w:rsidR="00734696" w:rsidRPr="00734696" w:rsidRDefault="00734696" w:rsidP="00734696">
      <w:pPr>
        <w:widowControl w:val="0"/>
        <w:autoSpaceDE w:val="0"/>
        <w:autoSpaceDN w:val="0"/>
        <w:spacing w:before="21"/>
        <w:rPr>
          <w:rFonts w:ascii="Arial MT" w:eastAsia="Arial MT" w:hAnsi="Arial MT" w:cs="Arial MT"/>
          <w:sz w:val="22"/>
          <w:szCs w:val="22"/>
          <w:lang w:val="es-ES" w:eastAsia="en-US"/>
        </w:rPr>
      </w:pPr>
    </w:p>
    <w:p w14:paraId="7857A0F0" w14:textId="06BBEE31" w:rsidR="00734696" w:rsidRPr="00734696" w:rsidRDefault="00734696" w:rsidP="00734696">
      <w:pPr>
        <w:widowControl w:val="0"/>
        <w:tabs>
          <w:tab w:val="left" w:pos="4966"/>
        </w:tabs>
        <w:autoSpaceDE w:val="0"/>
        <w:autoSpaceDN w:val="0"/>
        <w:ind w:left="2"/>
        <w:outlineLvl w:val="0"/>
        <w:rPr>
          <w:rFonts w:ascii="Arial" w:eastAsia="Arial" w:hAnsi="Arial" w:cs="Arial"/>
          <w:b/>
          <w:bCs/>
          <w:sz w:val="22"/>
          <w:szCs w:val="22"/>
          <w:lang w:val="es-ES" w:eastAsia="en-US"/>
        </w:rPr>
      </w:pPr>
      <w:r w:rsidRPr="00734696">
        <w:rPr>
          <w:rFonts w:ascii="Arial" w:eastAsia="Arial" w:hAnsi="Arial" w:cs="Arial"/>
          <w:b/>
          <w:bCs/>
          <w:sz w:val="22"/>
          <w:szCs w:val="22"/>
          <w:lang w:val="es-ES" w:eastAsia="en-US"/>
        </w:rPr>
        <w:t>RICARDO</w:t>
      </w:r>
      <w:r w:rsidRPr="00734696">
        <w:rPr>
          <w:rFonts w:ascii="Arial" w:eastAsia="Arial" w:hAnsi="Arial" w:cs="Arial"/>
          <w:b/>
          <w:bCs/>
          <w:spacing w:val="-5"/>
          <w:sz w:val="22"/>
          <w:szCs w:val="22"/>
          <w:lang w:val="es-ES" w:eastAsia="en-US"/>
        </w:rPr>
        <w:t xml:space="preserve"> </w:t>
      </w:r>
      <w:r w:rsidRPr="00734696">
        <w:rPr>
          <w:rFonts w:ascii="Arial" w:eastAsia="Arial" w:hAnsi="Arial" w:cs="Arial"/>
          <w:b/>
          <w:bCs/>
          <w:sz w:val="22"/>
          <w:szCs w:val="22"/>
          <w:lang w:val="es-ES" w:eastAsia="en-US"/>
        </w:rPr>
        <w:t>ANDRÉS</w:t>
      </w:r>
      <w:r w:rsidRPr="00734696">
        <w:rPr>
          <w:rFonts w:ascii="Arial" w:eastAsia="Arial" w:hAnsi="Arial" w:cs="Arial"/>
          <w:b/>
          <w:bCs/>
          <w:spacing w:val="-8"/>
          <w:sz w:val="22"/>
          <w:szCs w:val="22"/>
          <w:lang w:val="es-ES" w:eastAsia="en-US"/>
        </w:rPr>
        <w:t xml:space="preserve"> </w:t>
      </w:r>
      <w:r w:rsidRPr="00734696">
        <w:rPr>
          <w:rFonts w:ascii="Arial" w:eastAsia="Arial" w:hAnsi="Arial" w:cs="Arial"/>
          <w:b/>
          <w:bCs/>
          <w:sz w:val="22"/>
          <w:szCs w:val="22"/>
          <w:lang w:val="es-ES" w:eastAsia="en-US"/>
        </w:rPr>
        <w:t>CORREA</w:t>
      </w:r>
      <w:r w:rsidRPr="00734696">
        <w:rPr>
          <w:rFonts w:ascii="Arial" w:eastAsia="Arial" w:hAnsi="Arial" w:cs="Arial"/>
          <w:b/>
          <w:bCs/>
          <w:spacing w:val="-15"/>
          <w:sz w:val="22"/>
          <w:szCs w:val="22"/>
          <w:lang w:val="es-ES" w:eastAsia="en-US"/>
        </w:rPr>
        <w:t xml:space="preserve"> </w:t>
      </w:r>
      <w:r w:rsidRPr="00734696">
        <w:rPr>
          <w:rFonts w:ascii="Arial" w:eastAsia="Arial" w:hAnsi="Arial" w:cs="Arial"/>
          <w:b/>
          <w:bCs/>
          <w:spacing w:val="-2"/>
          <w:sz w:val="22"/>
          <w:szCs w:val="22"/>
          <w:lang w:val="es-ES" w:eastAsia="en-US"/>
        </w:rPr>
        <w:t>MOJICA</w:t>
      </w:r>
      <w:r w:rsidRPr="00734696">
        <w:rPr>
          <w:rFonts w:ascii="Arial" w:eastAsia="Arial" w:hAnsi="Arial" w:cs="Arial"/>
          <w:b/>
          <w:bCs/>
          <w:sz w:val="22"/>
          <w:szCs w:val="22"/>
          <w:lang w:val="es-ES" w:eastAsia="en-US"/>
        </w:rPr>
        <w:tab/>
        <w:t>JUAN</w:t>
      </w:r>
      <w:r w:rsidRPr="00734696">
        <w:rPr>
          <w:rFonts w:ascii="Arial" w:eastAsia="Arial" w:hAnsi="Arial" w:cs="Arial"/>
          <w:b/>
          <w:bCs/>
          <w:spacing w:val="-7"/>
          <w:sz w:val="22"/>
          <w:szCs w:val="22"/>
          <w:lang w:val="es-ES" w:eastAsia="en-US"/>
        </w:rPr>
        <w:t xml:space="preserve"> </w:t>
      </w:r>
      <w:r w:rsidRPr="00734696">
        <w:rPr>
          <w:rFonts w:ascii="Arial" w:eastAsia="Arial" w:hAnsi="Arial" w:cs="Arial"/>
          <w:b/>
          <w:bCs/>
          <w:sz w:val="22"/>
          <w:szCs w:val="22"/>
          <w:lang w:val="es-ES" w:eastAsia="en-US"/>
        </w:rPr>
        <w:t>DAVID</w:t>
      </w:r>
      <w:r w:rsidRPr="00734696">
        <w:rPr>
          <w:rFonts w:ascii="Arial" w:eastAsia="Arial" w:hAnsi="Arial" w:cs="Arial"/>
          <w:b/>
          <w:bCs/>
          <w:spacing w:val="-5"/>
          <w:sz w:val="22"/>
          <w:szCs w:val="22"/>
          <w:lang w:val="es-ES" w:eastAsia="en-US"/>
        </w:rPr>
        <w:t xml:space="preserve"> </w:t>
      </w:r>
      <w:r w:rsidRPr="00734696">
        <w:rPr>
          <w:rFonts w:ascii="Arial" w:eastAsia="Arial" w:hAnsi="Arial" w:cs="Arial"/>
          <w:b/>
          <w:bCs/>
          <w:spacing w:val="-2"/>
          <w:sz w:val="22"/>
          <w:szCs w:val="22"/>
          <w:lang w:val="es-ES" w:eastAsia="en-US"/>
        </w:rPr>
        <w:t>QUINTERO</w:t>
      </w:r>
    </w:p>
    <w:p w14:paraId="54C6107F" w14:textId="77777777" w:rsidR="00734696" w:rsidRPr="00734696" w:rsidRDefault="00734696" w:rsidP="00734696">
      <w:pPr>
        <w:widowControl w:val="0"/>
        <w:tabs>
          <w:tab w:val="left" w:pos="4966"/>
        </w:tabs>
        <w:autoSpaceDE w:val="0"/>
        <w:autoSpaceDN w:val="0"/>
        <w:spacing w:before="7"/>
        <w:ind w:left="2"/>
        <w:rPr>
          <w:rFonts w:ascii="Arial MT" w:eastAsia="Arial MT" w:hAnsi="Arial MT" w:cs="Arial MT"/>
          <w:sz w:val="22"/>
          <w:szCs w:val="22"/>
          <w:lang w:val="es-ES" w:eastAsia="en-US"/>
        </w:rPr>
      </w:pPr>
      <w:r w:rsidRPr="00734696">
        <w:rPr>
          <w:rFonts w:ascii="Arial MT" w:eastAsia="Arial MT" w:hAnsi="Arial MT" w:cs="Arial MT"/>
          <w:sz w:val="22"/>
          <w:szCs w:val="22"/>
          <w:lang w:val="es-ES" w:eastAsia="en-US"/>
        </w:rPr>
        <w:t>Concejal</w:t>
      </w:r>
      <w:r w:rsidRPr="00734696">
        <w:rPr>
          <w:rFonts w:ascii="Arial MT" w:eastAsia="Arial MT" w:hAnsi="Arial MT" w:cs="Arial MT"/>
          <w:spacing w:val="-5"/>
          <w:sz w:val="22"/>
          <w:szCs w:val="22"/>
          <w:lang w:val="es-ES" w:eastAsia="en-US"/>
        </w:rPr>
        <w:t xml:space="preserve"> </w:t>
      </w:r>
      <w:r w:rsidRPr="00734696">
        <w:rPr>
          <w:rFonts w:ascii="Arial MT" w:eastAsia="Arial MT" w:hAnsi="Arial MT" w:cs="Arial MT"/>
          <w:sz w:val="22"/>
          <w:szCs w:val="22"/>
          <w:lang w:val="es-ES" w:eastAsia="en-US"/>
        </w:rPr>
        <w:t>de</w:t>
      </w:r>
      <w:r w:rsidRPr="00734696">
        <w:rPr>
          <w:rFonts w:ascii="Arial MT" w:eastAsia="Arial MT" w:hAnsi="Arial MT" w:cs="Arial MT"/>
          <w:spacing w:val="-4"/>
          <w:sz w:val="22"/>
          <w:szCs w:val="22"/>
          <w:lang w:val="es-ES" w:eastAsia="en-US"/>
        </w:rPr>
        <w:t xml:space="preserve"> </w:t>
      </w:r>
      <w:r w:rsidRPr="00734696">
        <w:rPr>
          <w:rFonts w:ascii="Arial MT" w:eastAsia="Arial MT" w:hAnsi="Arial MT" w:cs="Arial MT"/>
          <w:spacing w:val="-2"/>
          <w:sz w:val="22"/>
          <w:szCs w:val="22"/>
          <w:lang w:val="es-ES" w:eastAsia="en-US"/>
        </w:rPr>
        <w:t>Bogotá</w:t>
      </w:r>
      <w:r w:rsidRPr="00734696">
        <w:rPr>
          <w:rFonts w:ascii="Arial MT" w:eastAsia="Arial MT" w:hAnsi="Arial MT" w:cs="Arial MT"/>
          <w:sz w:val="22"/>
          <w:szCs w:val="22"/>
          <w:lang w:val="es-ES" w:eastAsia="en-US"/>
        </w:rPr>
        <w:tab/>
        <w:t>Concejal</w:t>
      </w:r>
      <w:r w:rsidRPr="00734696">
        <w:rPr>
          <w:rFonts w:ascii="Arial MT" w:eastAsia="Arial MT" w:hAnsi="Arial MT" w:cs="Arial MT"/>
          <w:spacing w:val="-7"/>
          <w:sz w:val="22"/>
          <w:szCs w:val="22"/>
          <w:lang w:val="es-ES" w:eastAsia="en-US"/>
        </w:rPr>
        <w:t xml:space="preserve"> </w:t>
      </w:r>
      <w:r w:rsidRPr="00734696">
        <w:rPr>
          <w:rFonts w:ascii="Arial MT" w:eastAsia="Arial MT" w:hAnsi="Arial MT" w:cs="Arial MT"/>
          <w:sz w:val="22"/>
          <w:szCs w:val="22"/>
          <w:lang w:val="es-ES" w:eastAsia="en-US"/>
        </w:rPr>
        <w:t>de</w:t>
      </w:r>
      <w:r w:rsidRPr="00734696">
        <w:rPr>
          <w:rFonts w:ascii="Arial MT" w:eastAsia="Arial MT" w:hAnsi="Arial MT" w:cs="Arial MT"/>
          <w:spacing w:val="-4"/>
          <w:sz w:val="22"/>
          <w:szCs w:val="22"/>
          <w:lang w:val="es-ES" w:eastAsia="en-US"/>
        </w:rPr>
        <w:t xml:space="preserve"> </w:t>
      </w:r>
      <w:r w:rsidRPr="00734696">
        <w:rPr>
          <w:rFonts w:ascii="Arial MT" w:eastAsia="Arial MT" w:hAnsi="Arial MT" w:cs="Arial MT"/>
          <w:spacing w:val="-2"/>
          <w:sz w:val="22"/>
          <w:szCs w:val="22"/>
          <w:lang w:val="es-ES" w:eastAsia="en-US"/>
        </w:rPr>
        <w:t>Bogotá</w:t>
      </w:r>
    </w:p>
    <w:p w14:paraId="34D29A53" w14:textId="0287B9AE" w:rsidR="00464D0F" w:rsidRDefault="00464D0F">
      <w:pPr>
        <w:rPr>
          <w:rFonts w:ascii="Arial" w:eastAsia="Arial" w:hAnsi="Arial" w:cs="Arial"/>
          <w:sz w:val="22"/>
          <w:szCs w:val="22"/>
        </w:rPr>
      </w:pPr>
    </w:p>
    <w:p w14:paraId="2BEB07C0" w14:textId="77777777" w:rsidR="00B072FF" w:rsidRDefault="00B072FF">
      <w:pPr>
        <w:rPr>
          <w:rFonts w:ascii="Arial" w:eastAsia="Arial" w:hAnsi="Arial" w:cs="Arial"/>
          <w:sz w:val="22"/>
          <w:szCs w:val="22"/>
        </w:rPr>
      </w:pPr>
    </w:p>
    <w:p w14:paraId="0B7D7A1E" w14:textId="70619F56" w:rsidR="00452820" w:rsidRDefault="00452820">
      <w:pPr>
        <w:jc w:val="center"/>
        <w:rPr>
          <w:rFonts w:ascii="Arial" w:eastAsia="Arial" w:hAnsi="Arial" w:cs="Arial"/>
          <w:b/>
          <w:sz w:val="22"/>
          <w:szCs w:val="22"/>
        </w:rPr>
      </w:pPr>
    </w:p>
    <w:p w14:paraId="6C2A9C2D" w14:textId="77777777" w:rsidR="00415C39" w:rsidRDefault="00415C39">
      <w:pPr>
        <w:jc w:val="center"/>
        <w:rPr>
          <w:rFonts w:ascii="Arial" w:eastAsia="Arial" w:hAnsi="Arial" w:cs="Arial"/>
          <w:b/>
          <w:sz w:val="22"/>
          <w:szCs w:val="22"/>
        </w:rPr>
      </w:pPr>
    </w:p>
    <w:p w14:paraId="2CD3119F" w14:textId="1BB70A3C" w:rsidR="00452820" w:rsidRPr="00452820" w:rsidRDefault="00452820" w:rsidP="00452820">
      <w:pPr>
        <w:pStyle w:val="Prrafodelista"/>
        <w:numPr>
          <w:ilvl w:val="0"/>
          <w:numId w:val="13"/>
        </w:numPr>
        <w:jc w:val="both"/>
        <w:rPr>
          <w:rFonts w:eastAsia="Arial" w:cs="Arial"/>
          <w:b/>
          <w:sz w:val="22"/>
          <w:szCs w:val="22"/>
        </w:rPr>
      </w:pPr>
      <w:r>
        <w:rPr>
          <w:rFonts w:eastAsia="Arial" w:cs="Arial"/>
          <w:b/>
          <w:sz w:val="22"/>
          <w:szCs w:val="22"/>
        </w:rPr>
        <w:t>ARTICULADO</w:t>
      </w:r>
    </w:p>
    <w:p w14:paraId="1DC3339C" w14:textId="7F68A965" w:rsidR="00452820" w:rsidRDefault="00452820" w:rsidP="00E94D06">
      <w:pPr>
        <w:rPr>
          <w:rFonts w:ascii="Arial" w:eastAsia="Arial" w:hAnsi="Arial" w:cs="Arial"/>
          <w:b/>
          <w:sz w:val="22"/>
          <w:szCs w:val="22"/>
        </w:rPr>
      </w:pPr>
    </w:p>
    <w:p w14:paraId="0E774283" w14:textId="7FFAD1BF" w:rsidR="00464D0F" w:rsidRDefault="008C0B08">
      <w:pPr>
        <w:jc w:val="center"/>
        <w:rPr>
          <w:rFonts w:ascii="Arial" w:eastAsia="Arial" w:hAnsi="Arial" w:cs="Arial"/>
          <w:b/>
          <w:sz w:val="22"/>
          <w:szCs w:val="22"/>
        </w:rPr>
      </w:pPr>
      <w:r>
        <w:rPr>
          <w:rFonts w:ascii="Arial" w:eastAsia="Arial" w:hAnsi="Arial" w:cs="Arial"/>
          <w:b/>
          <w:sz w:val="22"/>
          <w:szCs w:val="22"/>
        </w:rPr>
        <w:t xml:space="preserve">PROYECTO DE ACUERDO No. __________ DE  </w:t>
      </w:r>
      <w:r w:rsidR="008A2669">
        <w:rPr>
          <w:rFonts w:ascii="Arial" w:eastAsia="Arial" w:hAnsi="Arial" w:cs="Arial"/>
          <w:b/>
          <w:sz w:val="22"/>
          <w:szCs w:val="22"/>
        </w:rPr>
        <w:t>2025</w:t>
      </w:r>
    </w:p>
    <w:p w14:paraId="6B2D29CA" w14:textId="6D377349" w:rsidR="00464D0F" w:rsidRDefault="00464D0F" w:rsidP="00E94D06">
      <w:pPr>
        <w:rPr>
          <w:rFonts w:ascii="Arial" w:eastAsia="Arial" w:hAnsi="Arial" w:cs="Arial"/>
          <w:b/>
          <w:sz w:val="22"/>
          <w:szCs w:val="22"/>
        </w:rPr>
      </w:pPr>
    </w:p>
    <w:p w14:paraId="6E79C39C" w14:textId="77777777" w:rsidR="005C772E" w:rsidRPr="0063702A" w:rsidRDefault="005C772E" w:rsidP="005C772E">
      <w:pPr>
        <w:jc w:val="center"/>
        <w:rPr>
          <w:rFonts w:ascii="Arial" w:eastAsia="Arial" w:hAnsi="Arial" w:cs="Arial"/>
          <w:b/>
          <w:sz w:val="22"/>
          <w:szCs w:val="22"/>
          <w:lang w:val="es-ES"/>
        </w:rPr>
      </w:pPr>
      <w:r w:rsidRPr="0063702A">
        <w:rPr>
          <w:rFonts w:ascii="Arial" w:eastAsia="Arial" w:hAnsi="Arial" w:cs="Arial"/>
          <w:b/>
          <w:sz w:val="22"/>
          <w:szCs w:val="22"/>
          <w:lang w:val="es-ES"/>
        </w:rPr>
        <w:t xml:space="preserve">“Por medio del cual se </w:t>
      </w:r>
      <w:r>
        <w:rPr>
          <w:rFonts w:ascii="Arial" w:eastAsia="Arial" w:hAnsi="Arial" w:cs="Arial"/>
          <w:b/>
          <w:sz w:val="22"/>
          <w:szCs w:val="22"/>
          <w:lang w:val="es-ES"/>
        </w:rPr>
        <w:t>establecen medidas</w:t>
      </w:r>
      <w:r w:rsidRPr="0013233C">
        <w:rPr>
          <w:rFonts w:ascii="Arial" w:eastAsia="Arial" w:hAnsi="Arial" w:cs="Arial"/>
          <w:b/>
          <w:sz w:val="22"/>
          <w:szCs w:val="22"/>
        </w:rPr>
        <w:t xml:space="preserve"> para el saneamiento de obligaciones por pagar en los Fondos de Desarrollo Local del Distrito Capital y el Fondo de Desarrollo Rural de Sumapaz</w:t>
      </w:r>
      <w:r w:rsidRPr="0063702A">
        <w:rPr>
          <w:rFonts w:ascii="Arial" w:eastAsia="Arial" w:hAnsi="Arial" w:cs="Arial"/>
          <w:b/>
          <w:sz w:val="22"/>
          <w:szCs w:val="22"/>
          <w:lang w:val="es-ES"/>
        </w:rPr>
        <w:t>”</w:t>
      </w:r>
    </w:p>
    <w:p w14:paraId="7838AC3D" w14:textId="77777777" w:rsidR="00464D0F" w:rsidRDefault="00464D0F" w:rsidP="005C772E">
      <w:pPr>
        <w:jc w:val="center"/>
        <w:rPr>
          <w:rFonts w:ascii="Arial" w:eastAsia="Arial" w:hAnsi="Arial" w:cs="Arial"/>
          <w:b/>
          <w:sz w:val="22"/>
          <w:szCs w:val="22"/>
        </w:rPr>
      </w:pPr>
    </w:p>
    <w:p w14:paraId="3134A3E3" w14:textId="77777777" w:rsidR="00464D0F" w:rsidRDefault="00464D0F">
      <w:pPr>
        <w:jc w:val="both"/>
        <w:rPr>
          <w:rFonts w:ascii="Arial" w:eastAsia="Arial" w:hAnsi="Arial" w:cs="Arial"/>
          <w:sz w:val="22"/>
          <w:szCs w:val="22"/>
        </w:rPr>
      </w:pPr>
    </w:p>
    <w:p w14:paraId="4B7FFB87" w14:textId="77777777" w:rsidR="00464D0F" w:rsidRDefault="008C0B08">
      <w:pPr>
        <w:jc w:val="center"/>
        <w:rPr>
          <w:rFonts w:ascii="Arial" w:eastAsia="Arial" w:hAnsi="Arial" w:cs="Arial"/>
          <w:b/>
          <w:sz w:val="22"/>
          <w:szCs w:val="22"/>
        </w:rPr>
      </w:pPr>
      <w:r>
        <w:rPr>
          <w:rFonts w:ascii="Arial" w:eastAsia="Arial" w:hAnsi="Arial" w:cs="Arial"/>
          <w:b/>
          <w:sz w:val="22"/>
          <w:szCs w:val="22"/>
        </w:rPr>
        <w:t>EL CONCEJO DE BOGOTÁ, DISTRITO CAPITAL</w:t>
      </w:r>
    </w:p>
    <w:p w14:paraId="07E14F80" w14:textId="77777777" w:rsidR="00464D0F" w:rsidRDefault="00464D0F">
      <w:pPr>
        <w:jc w:val="center"/>
        <w:rPr>
          <w:rFonts w:ascii="Arial" w:eastAsia="Arial" w:hAnsi="Arial" w:cs="Arial"/>
          <w:b/>
          <w:sz w:val="22"/>
          <w:szCs w:val="22"/>
        </w:rPr>
      </w:pPr>
    </w:p>
    <w:p w14:paraId="69B392BA" w14:textId="77777777" w:rsidR="00464D0F" w:rsidRDefault="00464D0F">
      <w:pPr>
        <w:jc w:val="both"/>
        <w:rPr>
          <w:rFonts w:ascii="Arial" w:eastAsia="Arial" w:hAnsi="Arial" w:cs="Arial"/>
          <w:sz w:val="22"/>
          <w:szCs w:val="22"/>
        </w:rPr>
      </w:pPr>
    </w:p>
    <w:p w14:paraId="2910D060" w14:textId="163E8204" w:rsidR="00464D0F" w:rsidRDefault="008C0B08">
      <w:pPr>
        <w:jc w:val="center"/>
        <w:rPr>
          <w:rFonts w:ascii="Arial" w:eastAsia="Arial" w:hAnsi="Arial" w:cs="Arial"/>
          <w:sz w:val="22"/>
          <w:szCs w:val="22"/>
        </w:rPr>
      </w:pPr>
      <w:r>
        <w:rPr>
          <w:rFonts w:ascii="Arial" w:eastAsia="Arial" w:hAnsi="Arial" w:cs="Arial"/>
          <w:sz w:val="22"/>
          <w:szCs w:val="22"/>
        </w:rPr>
        <w:t>En ejercicio de sus facultades constitucionales y legales, en especial las que le confieren el numeral 1</w:t>
      </w:r>
      <w:r w:rsidR="004B6F4B">
        <w:rPr>
          <w:rFonts w:ascii="Arial" w:eastAsia="Arial" w:hAnsi="Arial" w:cs="Arial"/>
          <w:sz w:val="22"/>
          <w:szCs w:val="22"/>
        </w:rPr>
        <w:t>, 10, 16 y 25</w:t>
      </w:r>
      <w:r>
        <w:rPr>
          <w:rFonts w:ascii="Arial" w:eastAsia="Arial" w:hAnsi="Arial" w:cs="Arial"/>
          <w:sz w:val="22"/>
          <w:szCs w:val="22"/>
        </w:rPr>
        <w:t xml:space="preserve"> del artículo </w:t>
      </w:r>
      <w:r w:rsidR="004B6F4B">
        <w:rPr>
          <w:rFonts w:ascii="Arial" w:eastAsia="Arial" w:hAnsi="Arial" w:cs="Arial"/>
          <w:sz w:val="22"/>
          <w:szCs w:val="22"/>
        </w:rPr>
        <w:t>12 del Decreto Ley 1421 de 1993</w:t>
      </w:r>
      <w:r>
        <w:rPr>
          <w:rFonts w:ascii="Arial" w:eastAsia="Arial" w:hAnsi="Arial" w:cs="Arial"/>
          <w:sz w:val="22"/>
          <w:szCs w:val="22"/>
        </w:rPr>
        <w:t>.</w:t>
      </w:r>
    </w:p>
    <w:p w14:paraId="0516AE72" w14:textId="77777777" w:rsidR="00464D0F" w:rsidRDefault="00464D0F">
      <w:pPr>
        <w:jc w:val="both"/>
        <w:rPr>
          <w:rFonts w:ascii="Arial" w:eastAsia="Arial" w:hAnsi="Arial" w:cs="Arial"/>
          <w:sz w:val="22"/>
          <w:szCs w:val="22"/>
        </w:rPr>
      </w:pPr>
    </w:p>
    <w:p w14:paraId="522F0E66" w14:textId="77777777" w:rsidR="00464D0F" w:rsidRDefault="00464D0F">
      <w:pPr>
        <w:jc w:val="both"/>
        <w:rPr>
          <w:rFonts w:ascii="Arial" w:eastAsia="Arial" w:hAnsi="Arial" w:cs="Arial"/>
          <w:sz w:val="22"/>
          <w:szCs w:val="22"/>
        </w:rPr>
      </w:pPr>
    </w:p>
    <w:p w14:paraId="724847BA" w14:textId="5722507A" w:rsidR="00464D0F" w:rsidRDefault="008C0B08">
      <w:pPr>
        <w:pBdr>
          <w:top w:val="nil"/>
          <w:left w:val="nil"/>
          <w:bottom w:val="nil"/>
          <w:right w:val="nil"/>
          <w:between w:val="nil"/>
        </w:pBdr>
        <w:jc w:val="center"/>
        <w:rPr>
          <w:rFonts w:ascii="Arial" w:eastAsia="Arial" w:hAnsi="Arial" w:cs="Arial"/>
          <w:b/>
          <w:color w:val="000000"/>
          <w:sz w:val="22"/>
          <w:szCs w:val="22"/>
        </w:rPr>
      </w:pPr>
      <w:r>
        <w:rPr>
          <w:rFonts w:ascii="Arial" w:eastAsia="Arial" w:hAnsi="Arial" w:cs="Arial"/>
          <w:b/>
          <w:color w:val="000000"/>
          <w:sz w:val="22"/>
          <w:szCs w:val="22"/>
        </w:rPr>
        <w:t>ACUERDA:</w:t>
      </w:r>
    </w:p>
    <w:p w14:paraId="5A762F63" w14:textId="77777777" w:rsidR="00B11DD1" w:rsidRDefault="00B11DD1">
      <w:pPr>
        <w:pBdr>
          <w:top w:val="nil"/>
          <w:left w:val="nil"/>
          <w:bottom w:val="nil"/>
          <w:right w:val="nil"/>
          <w:between w:val="nil"/>
        </w:pBdr>
        <w:jc w:val="center"/>
        <w:rPr>
          <w:rFonts w:ascii="Arial" w:eastAsia="Arial" w:hAnsi="Arial" w:cs="Arial"/>
          <w:b/>
          <w:color w:val="000000"/>
          <w:sz w:val="22"/>
          <w:szCs w:val="22"/>
        </w:rPr>
      </w:pPr>
    </w:p>
    <w:p w14:paraId="5889EAB6" w14:textId="575ADE01" w:rsidR="008A35F5" w:rsidRDefault="008C0B08" w:rsidP="00B11DD1">
      <w:pPr>
        <w:jc w:val="both"/>
        <w:rPr>
          <w:rFonts w:ascii="Arial" w:eastAsia="Arial" w:hAnsi="Arial" w:cs="Arial"/>
          <w:bCs/>
          <w:sz w:val="22"/>
          <w:szCs w:val="22"/>
        </w:rPr>
      </w:pPr>
      <w:r>
        <w:rPr>
          <w:rFonts w:ascii="Arial" w:eastAsia="Arial" w:hAnsi="Arial" w:cs="Arial"/>
          <w:b/>
          <w:sz w:val="22"/>
          <w:szCs w:val="22"/>
        </w:rPr>
        <w:t>ARTÍCULO 1.-</w:t>
      </w:r>
      <w:r w:rsidR="004B6F4B">
        <w:rPr>
          <w:rFonts w:ascii="Arial" w:eastAsia="Arial" w:hAnsi="Arial" w:cs="Arial"/>
          <w:b/>
          <w:sz w:val="22"/>
          <w:szCs w:val="22"/>
        </w:rPr>
        <w:t xml:space="preserve"> </w:t>
      </w:r>
      <w:r w:rsidR="008A35F5">
        <w:rPr>
          <w:rFonts w:ascii="Arial" w:eastAsia="Arial" w:hAnsi="Arial" w:cs="Arial"/>
          <w:b/>
          <w:sz w:val="22"/>
          <w:szCs w:val="22"/>
        </w:rPr>
        <w:t>ESTUDIO</w:t>
      </w:r>
      <w:r w:rsidR="00B11DD1">
        <w:rPr>
          <w:rFonts w:ascii="Arial" w:eastAsia="Arial" w:hAnsi="Arial" w:cs="Arial"/>
          <w:b/>
          <w:sz w:val="22"/>
          <w:szCs w:val="22"/>
        </w:rPr>
        <w:t xml:space="preserve">: </w:t>
      </w:r>
      <w:r w:rsidR="00B569B1">
        <w:rPr>
          <w:rFonts w:ascii="Arial" w:eastAsia="Arial" w:hAnsi="Arial" w:cs="Arial"/>
          <w:bCs/>
          <w:sz w:val="22"/>
          <w:szCs w:val="22"/>
        </w:rPr>
        <w:t>La Administración Distrital realizará un estudio donde se analice</w:t>
      </w:r>
      <w:r w:rsidR="008A35F5">
        <w:rPr>
          <w:rFonts w:ascii="Arial" w:eastAsia="Arial" w:hAnsi="Arial" w:cs="Arial"/>
          <w:bCs/>
          <w:sz w:val="22"/>
          <w:szCs w:val="22"/>
        </w:rPr>
        <w:t xml:space="preserve">n </w:t>
      </w:r>
      <w:r w:rsidR="00E94D06">
        <w:rPr>
          <w:rFonts w:ascii="Arial" w:eastAsia="Arial" w:hAnsi="Arial" w:cs="Arial"/>
          <w:bCs/>
          <w:sz w:val="22"/>
          <w:szCs w:val="22"/>
        </w:rPr>
        <w:t>las herramientas</w:t>
      </w:r>
      <w:r w:rsidR="008A35F5">
        <w:rPr>
          <w:rFonts w:ascii="Arial" w:eastAsia="Arial" w:hAnsi="Arial" w:cs="Arial"/>
          <w:bCs/>
          <w:sz w:val="22"/>
          <w:szCs w:val="22"/>
        </w:rPr>
        <w:t xml:space="preserve"> </w:t>
      </w:r>
      <w:r w:rsidR="00E94D06">
        <w:rPr>
          <w:rFonts w:ascii="Arial" w:eastAsia="Arial" w:hAnsi="Arial" w:cs="Arial"/>
          <w:bCs/>
          <w:sz w:val="22"/>
          <w:szCs w:val="22"/>
        </w:rPr>
        <w:t>idónea</w:t>
      </w:r>
      <w:r w:rsidR="008A35F5">
        <w:rPr>
          <w:rFonts w:ascii="Arial" w:eastAsia="Arial" w:hAnsi="Arial" w:cs="Arial"/>
          <w:bCs/>
          <w:sz w:val="22"/>
          <w:szCs w:val="22"/>
        </w:rPr>
        <w:t xml:space="preserve">s para lograr </w:t>
      </w:r>
      <w:r w:rsidR="008A35F5" w:rsidRPr="008A35F5">
        <w:rPr>
          <w:rFonts w:ascii="Arial" w:eastAsia="Arial" w:hAnsi="Arial" w:cs="Arial"/>
          <w:bCs/>
          <w:sz w:val="22"/>
          <w:szCs w:val="22"/>
        </w:rPr>
        <w:t>el saneamiento de obligaciones por pagar en los Fondos de Desarrollo Local del Distrito Capital y el Fondo de Desarrollo Rural de Sumapaz</w:t>
      </w:r>
      <w:r w:rsidR="008A35F5">
        <w:rPr>
          <w:rFonts w:ascii="Arial" w:eastAsia="Arial" w:hAnsi="Arial" w:cs="Arial"/>
          <w:bCs/>
          <w:sz w:val="22"/>
          <w:szCs w:val="22"/>
        </w:rPr>
        <w:t xml:space="preserve">. </w:t>
      </w:r>
    </w:p>
    <w:p w14:paraId="5BC80A63" w14:textId="77777777" w:rsidR="008A35F5" w:rsidRDefault="008A35F5" w:rsidP="00B11DD1">
      <w:pPr>
        <w:jc w:val="both"/>
        <w:rPr>
          <w:rFonts w:ascii="Arial" w:eastAsia="Arial" w:hAnsi="Arial" w:cs="Arial"/>
          <w:bCs/>
          <w:sz w:val="22"/>
          <w:szCs w:val="22"/>
        </w:rPr>
      </w:pPr>
    </w:p>
    <w:p w14:paraId="37DE72DD" w14:textId="73F6A826" w:rsidR="00B11DD1" w:rsidRPr="008A35F5" w:rsidRDefault="008A35F5" w:rsidP="00B11DD1">
      <w:pPr>
        <w:jc w:val="both"/>
        <w:rPr>
          <w:rFonts w:ascii="Arial" w:eastAsia="Arial" w:hAnsi="Arial" w:cs="Arial"/>
          <w:bCs/>
          <w:sz w:val="22"/>
          <w:szCs w:val="22"/>
        </w:rPr>
      </w:pPr>
      <w:r w:rsidRPr="008A35F5">
        <w:rPr>
          <w:rFonts w:ascii="Arial" w:eastAsia="Arial" w:hAnsi="Arial" w:cs="Arial"/>
          <w:b/>
          <w:bCs/>
          <w:sz w:val="22"/>
          <w:szCs w:val="22"/>
        </w:rPr>
        <w:t>PARÁGRAFO:</w:t>
      </w:r>
      <w:r>
        <w:rPr>
          <w:rFonts w:ascii="Arial" w:eastAsia="Arial" w:hAnsi="Arial" w:cs="Arial"/>
          <w:bCs/>
          <w:sz w:val="22"/>
          <w:szCs w:val="22"/>
        </w:rPr>
        <w:t xml:space="preserve"> Uno de los componentes de este estudio deberá analizar</w:t>
      </w:r>
      <w:r w:rsidR="00B569B1">
        <w:rPr>
          <w:rFonts w:ascii="Arial" w:eastAsia="Arial" w:hAnsi="Arial" w:cs="Arial"/>
          <w:bCs/>
          <w:sz w:val="22"/>
          <w:szCs w:val="22"/>
        </w:rPr>
        <w:t xml:space="preserve"> la necesidad y pertinencia de </w:t>
      </w:r>
      <w:r w:rsidR="00B569B1">
        <w:rPr>
          <w:rFonts w:ascii="Arial" w:eastAsia="Arial" w:hAnsi="Arial" w:cs="Arial"/>
          <w:sz w:val="22"/>
          <w:szCs w:val="22"/>
        </w:rPr>
        <w:t>crear</w:t>
      </w:r>
      <w:r w:rsidR="004B6F4B">
        <w:rPr>
          <w:rFonts w:ascii="Arial" w:eastAsia="Arial" w:hAnsi="Arial" w:cs="Arial"/>
          <w:sz w:val="22"/>
          <w:szCs w:val="22"/>
        </w:rPr>
        <w:t xml:space="preserve"> los Comités </w:t>
      </w:r>
      <w:r w:rsidR="004B6F4B" w:rsidRPr="004B6F4B">
        <w:rPr>
          <w:rFonts w:ascii="Arial" w:eastAsia="Arial" w:hAnsi="Arial" w:cs="Arial"/>
          <w:sz w:val="22"/>
          <w:szCs w:val="22"/>
        </w:rPr>
        <w:t>para el saneamiento de obligaciones por pagar en los Fondos de Desarrollo Local del Distrito Capital</w:t>
      </w:r>
      <w:r w:rsidR="00B11DD1">
        <w:rPr>
          <w:rFonts w:ascii="Arial" w:eastAsia="Arial" w:hAnsi="Arial" w:cs="Arial"/>
          <w:sz w:val="22"/>
          <w:szCs w:val="22"/>
        </w:rPr>
        <w:t xml:space="preserve"> y el </w:t>
      </w:r>
      <w:r w:rsidR="00B11DD1" w:rsidRPr="00B11DD1">
        <w:rPr>
          <w:rFonts w:ascii="Arial" w:eastAsia="Arial" w:hAnsi="Arial" w:cs="Arial"/>
          <w:sz w:val="22"/>
          <w:szCs w:val="22"/>
        </w:rPr>
        <w:t>Fondo</w:t>
      </w:r>
      <w:r w:rsidR="00737102">
        <w:rPr>
          <w:rFonts w:ascii="Arial" w:eastAsia="Arial" w:hAnsi="Arial" w:cs="Arial"/>
          <w:sz w:val="22"/>
          <w:szCs w:val="22"/>
        </w:rPr>
        <w:t xml:space="preserve"> de Desarrollo Rural de Sumapaz</w:t>
      </w:r>
      <w:r w:rsidR="004B6F4B">
        <w:rPr>
          <w:rFonts w:ascii="Arial" w:eastAsia="Arial" w:hAnsi="Arial" w:cs="Arial"/>
          <w:sz w:val="22"/>
          <w:szCs w:val="22"/>
        </w:rPr>
        <w:t xml:space="preserve">, como una instancia de </w:t>
      </w:r>
      <w:r w:rsidR="00B11DD1">
        <w:rPr>
          <w:rFonts w:ascii="Arial" w:eastAsia="Arial" w:hAnsi="Arial" w:cs="Arial"/>
          <w:sz w:val="22"/>
          <w:szCs w:val="22"/>
        </w:rPr>
        <w:t xml:space="preserve">participación ciudadana y de asesoramiento para </w:t>
      </w:r>
      <w:r w:rsidR="00B11DD1" w:rsidRPr="0041565D">
        <w:rPr>
          <w:rFonts w:ascii="Arial" w:eastAsia="Arial" w:hAnsi="Arial" w:cs="Arial"/>
          <w:sz w:val="22"/>
          <w:szCs w:val="22"/>
        </w:rPr>
        <w:t xml:space="preserve">generar recomendaciones, lineamientos y estrategias para lograr el saneamiento de las obligaciones </w:t>
      </w:r>
      <w:r w:rsidR="00553508">
        <w:rPr>
          <w:rFonts w:ascii="Arial" w:eastAsia="Arial" w:hAnsi="Arial" w:cs="Arial"/>
          <w:sz w:val="22"/>
          <w:szCs w:val="22"/>
        </w:rPr>
        <w:t>por pagar</w:t>
      </w:r>
      <w:r w:rsidR="003B7A06">
        <w:rPr>
          <w:rFonts w:ascii="Arial" w:eastAsia="Arial" w:hAnsi="Arial" w:cs="Arial"/>
          <w:sz w:val="22"/>
          <w:szCs w:val="22"/>
        </w:rPr>
        <w:t xml:space="preserve"> acumuladas</w:t>
      </w:r>
      <w:r w:rsidR="00B569B1">
        <w:rPr>
          <w:rFonts w:ascii="Arial" w:eastAsia="Arial" w:hAnsi="Arial" w:cs="Arial"/>
          <w:sz w:val="22"/>
          <w:szCs w:val="22"/>
        </w:rPr>
        <w:t xml:space="preserve"> </w:t>
      </w:r>
      <w:r w:rsidR="00B11DD1" w:rsidRPr="0041565D">
        <w:rPr>
          <w:rFonts w:ascii="Arial" w:eastAsia="Arial" w:hAnsi="Arial" w:cs="Arial"/>
          <w:sz w:val="22"/>
          <w:szCs w:val="22"/>
        </w:rPr>
        <w:t>que tienen los Fondos de Desarr</w:t>
      </w:r>
      <w:r w:rsidR="00B11DD1">
        <w:rPr>
          <w:rFonts w:ascii="Arial" w:eastAsia="Arial" w:hAnsi="Arial" w:cs="Arial"/>
          <w:sz w:val="22"/>
          <w:szCs w:val="22"/>
        </w:rPr>
        <w:t>ollo con sus proveedores</w:t>
      </w:r>
      <w:r w:rsidR="00B11DD1" w:rsidRPr="0041565D">
        <w:rPr>
          <w:rFonts w:ascii="Arial" w:eastAsia="Arial" w:hAnsi="Arial" w:cs="Arial"/>
          <w:sz w:val="22"/>
          <w:szCs w:val="22"/>
        </w:rPr>
        <w:t>.</w:t>
      </w:r>
    </w:p>
    <w:p w14:paraId="7DC6DEFE" w14:textId="0FA296AD" w:rsidR="00563599" w:rsidRPr="006C7E69" w:rsidRDefault="00B11DD1" w:rsidP="00563599">
      <w:pPr>
        <w:spacing w:before="240" w:after="240" w:line="276" w:lineRule="auto"/>
        <w:jc w:val="both"/>
        <w:rPr>
          <w:rFonts w:ascii="Arial" w:eastAsia="Arial" w:hAnsi="Arial" w:cs="Arial"/>
          <w:bCs/>
          <w:sz w:val="22"/>
          <w:szCs w:val="22"/>
        </w:rPr>
      </w:pPr>
      <w:r w:rsidRPr="00B11DD1">
        <w:rPr>
          <w:rFonts w:ascii="Arial" w:eastAsia="Arial" w:hAnsi="Arial" w:cs="Arial"/>
          <w:b/>
          <w:sz w:val="22"/>
          <w:szCs w:val="22"/>
        </w:rPr>
        <w:t>ARTÍCULO 2.-</w:t>
      </w:r>
      <w:r>
        <w:rPr>
          <w:rFonts w:ascii="Arial" w:eastAsia="Arial" w:hAnsi="Arial" w:cs="Arial"/>
          <w:b/>
          <w:sz w:val="22"/>
          <w:szCs w:val="22"/>
        </w:rPr>
        <w:t xml:space="preserve"> CONFORMACIÓN: </w:t>
      </w:r>
      <w:r w:rsidR="00B569B1" w:rsidRPr="00B569B1">
        <w:rPr>
          <w:rFonts w:ascii="Arial" w:eastAsia="Arial" w:hAnsi="Arial" w:cs="Arial"/>
          <w:bCs/>
          <w:sz w:val="22"/>
          <w:szCs w:val="22"/>
        </w:rPr>
        <w:t>Para la realización de este estudio</w:t>
      </w:r>
      <w:r w:rsidR="00B569B1">
        <w:rPr>
          <w:rFonts w:ascii="Arial" w:eastAsia="Arial" w:hAnsi="Arial" w:cs="Arial"/>
          <w:b/>
          <w:sz w:val="22"/>
          <w:szCs w:val="22"/>
        </w:rPr>
        <w:t xml:space="preserve"> </w:t>
      </w:r>
      <w:r w:rsidR="00B569B1" w:rsidRPr="006C7E69">
        <w:rPr>
          <w:rFonts w:ascii="Arial" w:eastAsia="Arial" w:hAnsi="Arial" w:cs="Arial"/>
          <w:bCs/>
          <w:sz w:val="22"/>
          <w:szCs w:val="22"/>
        </w:rPr>
        <w:t>la Administración Distrital delegará funcionarios con los siguientes perfiles</w:t>
      </w:r>
      <w:r w:rsidRPr="006C7E69">
        <w:rPr>
          <w:rFonts w:ascii="Arial" w:eastAsia="Arial" w:hAnsi="Arial" w:cs="Arial"/>
          <w:bCs/>
          <w:sz w:val="22"/>
          <w:szCs w:val="22"/>
        </w:rPr>
        <w:t xml:space="preserve">: </w:t>
      </w:r>
    </w:p>
    <w:p w14:paraId="6B30EA90" w14:textId="6B5E7DCF" w:rsidR="00563599" w:rsidRPr="00563599" w:rsidRDefault="00563599" w:rsidP="00563599">
      <w:pPr>
        <w:spacing w:before="240" w:after="240" w:line="276" w:lineRule="auto"/>
        <w:jc w:val="both"/>
        <w:rPr>
          <w:rFonts w:ascii="Arial" w:eastAsia="Arial" w:hAnsi="Arial" w:cs="Arial"/>
          <w:color w:val="000000"/>
          <w:sz w:val="22"/>
          <w:szCs w:val="22"/>
          <w:lang w:val="es-ES" w:eastAsia="es-ES"/>
        </w:rPr>
      </w:pPr>
      <w:r w:rsidRPr="00563599">
        <w:rPr>
          <w:rFonts w:ascii="Arial" w:eastAsia="Arial" w:hAnsi="Arial" w:cs="Arial"/>
          <w:color w:val="000000"/>
          <w:sz w:val="22"/>
          <w:szCs w:val="22"/>
          <w:lang w:val="es-ES" w:eastAsia="es-ES"/>
        </w:rPr>
        <w:t xml:space="preserve">- Profesional Especializado </w:t>
      </w:r>
      <w:r>
        <w:rPr>
          <w:rFonts w:ascii="Arial" w:eastAsia="Arial" w:hAnsi="Arial" w:cs="Arial"/>
          <w:color w:val="000000"/>
          <w:sz w:val="22"/>
          <w:szCs w:val="22"/>
          <w:lang w:val="es-ES" w:eastAsia="es-ES"/>
        </w:rPr>
        <w:t>con conocimientos en derecho, contabilidad o economía</w:t>
      </w:r>
    </w:p>
    <w:p w14:paraId="242A111B" w14:textId="230D51A2" w:rsidR="00563599" w:rsidRPr="00563599" w:rsidRDefault="00563599" w:rsidP="00563599">
      <w:pPr>
        <w:spacing w:before="240" w:after="240" w:line="276" w:lineRule="auto"/>
        <w:jc w:val="both"/>
        <w:rPr>
          <w:rFonts w:ascii="Arial" w:eastAsia="Arial" w:hAnsi="Arial" w:cs="Arial"/>
          <w:color w:val="000000"/>
          <w:sz w:val="22"/>
          <w:szCs w:val="22"/>
          <w:lang w:val="es-ES" w:eastAsia="es-ES"/>
        </w:rPr>
      </w:pPr>
      <w:r w:rsidRPr="00563599">
        <w:rPr>
          <w:rFonts w:ascii="Arial" w:eastAsia="Arial" w:hAnsi="Arial" w:cs="Arial"/>
          <w:color w:val="000000"/>
          <w:sz w:val="22"/>
          <w:szCs w:val="22"/>
          <w:lang w:val="es-ES" w:eastAsia="es-ES"/>
        </w:rPr>
        <w:t xml:space="preserve">- Profesional </w:t>
      </w:r>
      <w:r w:rsidR="00532E98">
        <w:rPr>
          <w:rFonts w:ascii="Arial" w:eastAsia="Arial" w:hAnsi="Arial" w:cs="Arial"/>
          <w:color w:val="000000"/>
          <w:sz w:val="22"/>
          <w:szCs w:val="22"/>
          <w:lang w:val="es-ES" w:eastAsia="es-ES"/>
        </w:rPr>
        <w:t xml:space="preserve">Especializado con conocimientos en contabilidad </w:t>
      </w:r>
    </w:p>
    <w:p w14:paraId="7791A3F0" w14:textId="4E92C3A9" w:rsidR="00532E98" w:rsidRPr="00563599" w:rsidRDefault="00563599" w:rsidP="00563599">
      <w:pPr>
        <w:spacing w:before="240" w:after="240" w:line="276" w:lineRule="auto"/>
        <w:jc w:val="both"/>
        <w:rPr>
          <w:rFonts w:ascii="Arial" w:eastAsia="Arial" w:hAnsi="Arial" w:cs="Arial"/>
          <w:color w:val="000000"/>
          <w:sz w:val="22"/>
          <w:szCs w:val="22"/>
          <w:lang w:val="es-ES" w:eastAsia="es-ES"/>
        </w:rPr>
      </w:pPr>
      <w:r w:rsidRPr="00563599">
        <w:rPr>
          <w:rFonts w:ascii="Arial" w:eastAsia="Arial" w:hAnsi="Arial" w:cs="Arial"/>
          <w:color w:val="000000"/>
          <w:sz w:val="22"/>
          <w:szCs w:val="22"/>
          <w:lang w:val="es-ES" w:eastAsia="es-ES"/>
        </w:rPr>
        <w:t xml:space="preserve">- Profesional </w:t>
      </w:r>
      <w:r w:rsidR="00532E98">
        <w:rPr>
          <w:rFonts w:ascii="Arial" w:eastAsia="Arial" w:hAnsi="Arial" w:cs="Arial"/>
          <w:color w:val="000000"/>
          <w:sz w:val="22"/>
          <w:szCs w:val="22"/>
          <w:lang w:val="es-ES" w:eastAsia="es-ES"/>
        </w:rPr>
        <w:t>Universitario</w:t>
      </w:r>
      <w:r w:rsidR="004B4EA9">
        <w:rPr>
          <w:rFonts w:ascii="Arial" w:eastAsia="Arial" w:hAnsi="Arial" w:cs="Arial"/>
          <w:color w:val="000000"/>
          <w:sz w:val="22"/>
          <w:szCs w:val="22"/>
          <w:lang w:val="es-ES" w:eastAsia="es-ES"/>
        </w:rPr>
        <w:t xml:space="preserve"> o Especializado</w:t>
      </w:r>
      <w:r w:rsidRPr="00563599">
        <w:rPr>
          <w:rFonts w:ascii="Arial" w:eastAsia="Arial" w:hAnsi="Arial" w:cs="Arial"/>
          <w:color w:val="000000"/>
          <w:sz w:val="22"/>
          <w:szCs w:val="22"/>
          <w:lang w:val="es-ES" w:eastAsia="es-ES"/>
        </w:rPr>
        <w:t xml:space="preserve"> </w:t>
      </w:r>
      <w:r w:rsidR="00532E98">
        <w:rPr>
          <w:rFonts w:ascii="Arial" w:eastAsia="Arial" w:hAnsi="Arial" w:cs="Arial"/>
          <w:color w:val="000000"/>
          <w:sz w:val="22"/>
          <w:szCs w:val="22"/>
          <w:lang w:val="es-ES" w:eastAsia="es-ES"/>
        </w:rPr>
        <w:t xml:space="preserve">con conocimientos en derecho, contabilidad o economía </w:t>
      </w:r>
      <w:r w:rsidR="00B569B1">
        <w:rPr>
          <w:rFonts w:ascii="Arial" w:eastAsia="Arial" w:hAnsi="Arial" w:cs="Arial"/>
          <w:color w:val="000000"/>
          <w:sz w:val="22"/>
          <w:szCs w:val="22"/>
          <w:lang w:val="es-ES" w:eastAsia="es-ES"/>
        </w:rPr>
        <w:t>que represente cada una de las</w:t>
      </w:r>
      <w:r w:rsidR="00532E98">
        <w:rPr>
          <w:rFonts w:ascii="Arial" w:eastAsia="Arial" w:hAnsi="Arial" w:cs="Arial"/>
          <w:color w:val="000000"/>
          <w:sz w:val="22"/>
          <w:szCs w:val="22"/>
          <w:lang w:val="es-ES" w:eastAsia="es-ES"/>
        </w:rPr>
        <w:t xml:space="preserve"> </w:t>
      </w:r>
      <w:r w:rsidR="00B569B1">
        <w:rPr>
          <w:rFonts w:ascii="Arial" w:eastAsia="Arial" w:hAnsi="Arial" w:cs="Arial"/>
          <w:color w:val="000000"/>
          <w:sz w:val="22"/>
          <w:szCs w:val="22"/>
          <w:lang w:val="es-ES" w:eastAsia="es-ES"/>
        </w:rPr>
        <w:t xml:space="preserve">Alcaldías </w:t>
      </w:r>
      <w:r w:rsidR="00532E98">
        <w:rPr>
          <w:rFonts w:ascii="Arial" w:eastAsia="Arial" w:hAnsi="Arial" w:cs="Arial"/>
          <w:color w:val="000000"/>
          <w:sz w:val="22"/>
          <w:szCs w:val="22"/>
          <w:lang w:val="es-ES" w:eastAsia="es-ES"/>
        </w:rPr>
        <w:t>Local</w:t>
      </w:r>
      <w:r w:rsidR="00B569B1">
        <w:rPr>
          <w:rFonts w:ascii="Arial" w:eastAsia="Arial" w:hAnsi="Arial" w:cs="Arial"/>
          <w:color w:val="000000"/>
          <w:sz w:val="22"/>
          <w:szCs w:val="22"/>
          <w:lang w:val="es-ES" w:eastAsia="es-ES"/>
        </w:rPr>
        <w:t>es</w:t>
      </w:r>
      <w:r w:rsidR="00532E98">
        <w:rPr>
          <w:rFonts w:ascii="Arial" w:eastAsia="Arial" w:hAnsi="Arial" w:cs="Arial"/>
          <w:color w:val="000000"/>
          <w:sz w:val="22"/>
          <w:szCs w:val="22"/>
          <w:lang w:val="es-ES" w:eastAsia="es-ES"/>
        </w:rPr>
        <w:t xml:space="preserve">. </w:t>
      </w:r>
    </w:p>
    <w:p w14:paraId="6D6DEFF1" w14:textId="2C84FF95" w:rsidR="00563599" w:rsidRPr="00563599" w:rsidRDefault="00563599" w:rsidP="00563599">
      <w:pPr>
        <w:spacing w:before="240" w:after="240" w:line="276" w:lineRule="auto"/>
        <w:jc w:val="both"/>
        <w:rPr>
          <w:rFonts w:ascii="Arial" w:eastAsia="Arial" w:hAnsi="Arial" w:cs="Arial"/>
          <w:color w:val="000000"/>
          <w:sz w:val="22"/>
          <w:szCs w:val="22"/>
          <w:lang w:val="es-ES" w:eastAsia="es-ES"/>
        </w:rPr>
      </w:pPr>
      <w:r w:rsidRPr="00563599">
        <w:rPr>
          <w:rFonts w:ascii="Arial" w:eastAsia="Arial" w:hAnsi="Arial" w:cs="Arial"/>
          <w:color w:val="000000"/>
          <w:sz w:val="22"/>
          <w:szCs w:val="22"/>
          <w:lang w:val="es-ES" w:eastAsia="es-ES"/>
        </w:rPr>
        <w:t>- Profes</w:t>
      </w:r>
      <w:r w:rsidR="00532E98">
        <w:rPr>
          <w:rFonts w:ascii="Arial" w:eastAsia="Arial" w:hAnsi="Arial" w:cs="Arial"/>
          <w:color w:val="000000"/>
          <w:sz w:val="22"/>
          <w:szCs w:val="22"/>
          <w:lang w:val="es-ES" w:eastAsia="es-ES"/>
        </w:rPr>
        <w:t>ional Universitario o Especializado</w:t>
      </w:r>
      <w:r w:rsidRPr="00563599">
        <w:rPr>
          <w:rFonts w:ascii="Arial" w:eastAsia="Arial" w:hAnsi="Arial" w:cs="Arial"/>
          <w:color w:val="000000"/>
          <w:sz w:val="22"/>
          <w:szCs w:val="22"/>
          <w:lang w:val="es-ES" w:eastAsia="es-ES"/>
        </w:rPr>
        <w:t xml:space="preserve"> con funciones de Contador (a) del Fondo </w:t>
      </w:r>
      <w:r w:rsidR="00532E98">
        <w:rPr>
          <w:rFonts w:ascii="Arial" w:eastAsia="Arial" w:hAnsi="Arial" w:cs="Arial"/>
          <w:color w:val="000000"/>
          <w:sz w:val="22"/>
          <w:szCs w:val="22"/>
          <w:lang w:val="es-ES" w:eastAsia="es-ES"/>
        </w:rPr>
        <w:t>de</w:t>
      </w:r>
      <w:r w:rsidR="00737102">
        <w:rPr>
          <w:rFonts w:ascii="Arial" w:eastAsia="Arial" w:hAnsi="Arial" w:cs="Arial"/>
          <w:color w:val="000000"/>
          <w:sz w:val="22"/>
          <w:szCs w:val="22"/>
          <w:lang w:val="es-ES" w:eastAsia="es-ES"/>
        </w:rPr>
        <w:t xml:space="preserve"> </w:t>
      </w:r>
      <w:r w:rsidR="00532E98">
        <w:rPr>
          <w:rFonts w:ascii="Arial" w:eastAsia="Arial" w:hAnsi="Arial" w:cs="Arial"/>
          <w:color w:val="000000"/>
          <w:sz w:val="22"/>
          <w:szCs w:val="22"/>
          <w:lang w:val="es-ES" w:eastAsia="es-ES"/>
        </w:rPr>
        <w:t>D</w:t>
      </w:r>
      <w:r w:rsidR="00737102">
        <w:rPr>
          <w:rFonts w:ascii="Arial" w:eastAsia="Arial" w:hAnsi="Arial" w:cs="Arial"/>
          <w:color w:val="000000"/>
          <w:sz w:val="22"/>
          <w:szCs w:val="22"/>
          <w:lang w:val="es-ES" w:eastAsia="es-ES"/>
        </w:rPr>
        <w:t xml:space="preserve">esarrollo Local </w:t>
      </w:r>
      <w:r w:rsidR="00532E98">
        <w:rPr>
          <w:rFonts w:ascii="Arial" w:eastAsia="Arial" w:hAnsi="Arial" w:cs="Arial"/>
          <w:color w:val="000000"/>
          <w:sz w:val="22"/>
          <w:szCs w:val="22"/>
          <w:lang w:val="es-ES" w:eastAsia="es-ES"/>
        </w:rPr>
        <w:t>o Rural, según sea el caso</w:t>
      </w:r>
      <w:r w:rsidR="00737102">
        <w:rPr>
          <w:rFonts w:ascii="Arial" w:eastAsia="Arial" w:hAnsi="Arial" w:cs="Arial"/>
          <w:color w:val="000000"/>
          <w:sz w:val="22"/>
          <w:szCs w:val="22"/>
          <w:lang w:val="es-ES" w:eastAsia="es-ES"/>
        </w:rPr>
        <w:t>.</w:t>
      </w:r>
    </w:p>
    <w:p w14:paraId="07B1D19F" w14:textId="2C264DEB" w:rsidR="00737102" w:rsidRDefault="002D3B2F" w:rsidP="00737102">
      <w:pPr>
        <w:spacing w:before="240" w:after="240" w:line="276" w:lineRule="auto"/>
        <w:jc w:val="both"/>
        <w:rPr>
          <w:rFonts w:ascii="Arial" w:eastAsia="Arial" w:hAnsi="Arial" w:cs="Arial"/>
          <w:color w:val="000000"/>
          <w:sz w:val="22"/>
          <w:szCs w:val="22"/>
          <w:lang w:val="es-ES" w:eastAsia="es-ES"/>
        </w:rPr>
      </w:pPr>
      <w:r w:rsidRPr="002D3B2F">
        <w:rPr>
          <w:rFonts w:ascii="Arial" w:eastAsia="Arial" w:hAnsi="Arial" w:cs="Arial"/>
          <w:b/>
          <w:color w:val="000000"/>
          <w:sz w:val="22"/>
          <w:szCs w:val="22"/>
          <w:lang w:val="es-ES" w:eastAsia="es-ES"/>
        </w:rPr>
        <w:t>PARÁGRAFO 1</w:t>
      </w:r>
      <w:r w:rsidR="00563599" w:rsidRPr="00563599">
        <w:rPr>
          <w:rFonts w:ascii="Arial" w:eastAsia="Arial" w:hAnsi="Arial" w:cs="Arial"/>
          <w:color w:val="000000"/>
          <w:sz w:val="22"/>
          <w:szCs w:val="22"/>
          <w:lang w:val="es-ES" w:eastAsia="es-ES"/>
        </w:rPr>
        <w:t xml:space="preserve">. </w:t>
      </w:r>
      <w:r w:rsidR="00F7452F">
        <w:rPr>
          <w:rFonts w:ascii="Arial" w:eastAsia="Arial" w:hAnsi="Arial" w:cs="Arial"/>
          <w:color w:val="000000"/>
          <w:sz w:val="22"/>
          <w:szCs w:val="22"/>
          <w:lang w:val="es-ES" w:eastAsia="es-ES"/>
        </w:rPr>
        <w:t>Se</w:t>
      </w:r>
      <w:r w:rsidR="00563599" w:rsidRPr="00563599">
        <w:rPr>
          <w:rFonts w:ascii="Arial" w:eastAsia="Arial" w:hAnsi="Arial" w:cs="Arial"/>
          <w:color w:val="000000"/>
          <w:sz w:val="22"/>
          <w:szCs w:val="22"/>
          <w:lang w:val="es-ES" w:eastAsia="es-ES"/>
        </w:rPr>
        <w:t xml:space="preserve"> podrá invitar a él (la) Jefe de la Oficina de Control Interno</w:t>
      </w:r>
      <w:r w:rsidR="00F7452F">
        <w:rPr>
          <w:rFonts w:ascii="Arial" w:eastAsia="Arial" w:hAnsi="Arial" w:cs="Arial"/>
          <w:color w:val="000000"/>
          <w:sz w:val="22"/>
          <w:szCs w:val="22"/>
          <w:lang w:val="es-ES" w:eastAsia="es-ES"/>
        </w:rPr>
        <w:t>.</w:t>
      </w:r>
    </w:p>
    <w:p w14:paraId="1C6D811D" w14:textId="7CE945BE" w:rsidR="00B11DD1" w:rsidRPr="003F3177" w:rsidRDefault="002D3B2F">
      <w:pPr>
        <w:spacing w:before="240" w:after="240" w:line="276" w:lineRule="auto"/>
        <w:jc w:val="both"/>
        <w:rPr>
          <w:rFonts w:ascii="Arial" w:eastAsia="Arial" w:hAnsi="Arial" w:cs="Arial"/>
          <w:sz w:val="22"/>
          <w:szCs w:val="22"/>
        </w:rPr>
      </w:pPr>
      <w:r w:rsidRPr="002D3B2F">
        <w:rPr>
          <w:rFonts w:ascii="Arial" w:eastAsia="Arial" w:hAnsi="Arial" w:cs="Arial"/>
          <w:b/>
          <w:sz w:val="22"/>
          <w:szCs w:val="22"/>
        </w:rPr>
        <w:t>PARÁGRAFO 2.</w:t>
      </w:r>
      <w:r w:rsidRPr="00532E98">
        <w:rPr>
          <w:rFonts w:ascii="Arial" w:eastAsia="Arial" w:hAnsi="Arial" w:cs="Arial"/>
          <w:sz w:val="22"/>
          <w:szCs w:val="22"/>
        </w:rPr>
        <w:t xml:space="preserve"> </w:t>
      </w:r>
      <w:r w:rsidR="00F7452F">
        <w:rPr>
          <w:rFonts w:ascii="Arial" w:eastAsia="Arial" w:hAnsi="Arial" w:cs="Arial"/>
          <w:sz w:val="22"/>
          <w:szCs w:val="22"/>
        </w:rPr>
        <w:t>Se</w:t>
      </w:r>
      <w:r w:rsidR="00563599" w:rsidRPr="00532E98">
        <w:rPr>
          <w:rFonts w:ascii="Arial" w:eastAsia="Arial" w:hAnsi="Arial" w:cs="Arial"/>
          <w:sz w:val="22"/>
          <w:szCs w:val="22"/>
        </w:rPr>
        <w:t xml:space="preserve"> </w:t>
      </w:r>
      <w:r w:rsidR="00532E98">
        <w:rPr>
          <w:rFonts w:ascii="Arial" w:eastAsia="Arial" w:hAnsi="Arial" w:cs="Arial"/>
          <w:sz w:val="22"/>
          <w:szCs w:val="22"/>
        </w:rPr>
        <w:t>deberá</w:t>
      </w:r>
      <w:r w:rsidR="00563599" w:rsidRPr="00532E98">
        <w:rPr>
          <w:rFonts w:ascii="Arial" w:eastAsia="Arial" w:hAnsi="Arial" w:cs="Arial"/>
          <w:sz w:val="22"/>
          <w:szCs w:val="22"/>
        </w:rPr>
        <w:t xml:space="preserve"> invitar a</w:t>
      </w:r>
      <w:r w:rsidR="00532E98">
        <w:rPr>
          <w:rFonts w:ascii="Arial" w:eastAsia="Arial" w:hAnsi="Arial" w:cs="Arial"/>
          <w:sz w:val="22"/>
          <w:szCs w:val="22"/>
        </w:rPr>
        <w:t xml:space="preserve"> las veedurías ciudadanas, </w:t>
      </w:r>
      <w:r w:rsidR="00563599" w:rsidRPr="00532E98">
        <w:rPr>
          <w:rFonts w:ascii="Arial" w:eastAsia="Arial" w:hAnsi="Arial" w:cs="Arial"/>
          <w:sz w:val="22"/>
          <w:szCs w:val="22"/>
        </w:rPr>
        <w:t xml:space="preserve">contratistas, servidores públicos o particulares </w:t>
      </w:r>
      <w:r w:rsidR="00F7452F">
        <w:rPr>
          <w:rFonts w:ascii="Arial" w:eastAsia="Arial" w:hAnsi="Arial" w:cs="Arial"/>
          <w:sz w:val="22"/>
          <w:szCs w:val="22"/>
        </w:rPr>
        <w:t>cuya opinión se</w:t>
      </w:r>
      <w:r w:rsidR="00563599" w:rsidRPr="00532E98">
        <w:rPr>
          <w:rFonts w:ascii="Arial" w:eastAsia="Arial" w:hAnsi="Arial" w:cs="Arial"/>
          <w:sz w:val="22"/>
          <w:szCs w:val="22"/>
        </w:rPr>
        <w:t xml:space="preserve"> estime pertinente para el </w:t>
      </w:r>
      <w:r w:rsidR="00F7452F">
        <w:rPr>
          <w:rFonts w:ascii="Arial" w:eastAsia="Arial" w:hAnsi="Arial" w:cs="Arial"/>
          <w:sz w:val="22"/>
          <w:szCs w:val="22"/>
        </w:rPr>
        <w:t>estudio.</w:t>
      </w:r>
    </w:p>
    <w:p w14:paraId="28FC259E" w14:textId="18F3EBF1" w:rsidR="003F3177" w:rsidRPr="003F3177" w:rsidRDefault="003F3177" w:rsidP="003F3177">
      <w:pPr>
        <w:spacing w:before="240" w:after="240" w:line="276" w:lineRule="auto"/>
        <w:jc w:val="both"/>
        <w:rPr>
          <w:rFonts w:ascii="Arial" w:eastAsia="Arial" w:hAnsi="Arial" w:cs="Arial"/>
          <w:color w:val="000000"/>
          <w:sz w:val="22"/>
          <w:szCs w:val="22"/>
          <w:lang w:eastAsia="es-ES"/>
        </w:rPr>
      </w:pPr>
      <w:r w:rsidRPr="003F3177">
        <w:rPr>
          <w:rFonts w:ascii="Arial" w:eastAsia="Arial" w:hAnsi="Arial" w:cs="Arial"/>
          <w:b/>
          <w:bCs/>
          <w:color w:val="000000"/>
          <w:sz w:val="22"/>
          <w:szCs w:val="22"/>
          <w:lang w:eastAsia="es-ES"/>
        </w:rPr>
        <w:t>ARTÍCULO</w:t>
      </w:r>
      <w:r w:rsidRPr="003F3177">
        <w:rPr>
          <w:rFonts w:ascii="Arial" w:eastAsia="Arial" w:hAnsi="Arial" w:cs="Arial"/>
          <w:color w:val="000000"/>
          <w:sz w:val="22"/>
          <w:szCs w:val="22"/>
          <w:lang w:eastAsia="es-ES"/>
        </w:rPr>
        <w:t> </w:t>
      </w:r>
      <w:r w:rsidRPr="003F3177">
        <w:rPr>
          <w:rFonts w:ascii="Arial" w:eastAsia="Arial" w:hAnsi="Arial" w:cs="Arial"/>
          <w:b/>
          <w:bCs/>
          <w:color w:val="000000"/>
          <w:sz w:val="22"/>
          <w:szCs w:val="22"/>
          <w:lang w:eastAsia="es-ES"/>
        </w:rPr>
        <w:t>3.</w:t>
      </w:r>
      <w:r w:rsidR="00A715E7">
        <w:rPr>
          <w:rFonts w:ascii="Arial" w:eastAsia="Arial" w:hAnsi="Arial" w:cs="Arial"/>
          <w:b/>
          <w:bCs/>
          <w:color w:val="000000"/>
          <w:sz w:val="22"/>
          <w:szCs w:val="22"/>
          <w:lang w:eastAsia="es-ES"/>
        </w:rPr>
        <w:t>-</w:t>
      </w:r>
      <w:r w:rsidRPr="003F3177">
        <w:rPr>
          <w:rFonts w:ascii="Arial" w:eastAsia="Arial" w:hAnsi="Arial" w:cs="Arial"/>
          <w:b/>
          <w:bCs/>
          <w:color w:val="000000"/>
          <w:sz w:val="22"/>
          <w:szCs w:val="22"/>
          <w:lang w:eastAsia="es-ES"/>
        </w:rPr>
        <w:t> </w:t>
      </w:r>
      <w:r w:rsidR="00F7452F">
        <w:rPr>
          <w:rFonts w:ascii="Arial" w:eastAsia="Arial" w:hAnsi="Arial" w:cs="Arial"/>
          <w:b/>
          <w:bCs/>
          <w:iCs/>
          <w:color w:val="000000"/>
          <w:sz w:val="22"/>
          <w:szCs w:val="22"/>
          <w:lang w:eastAsia="es-ES"/>
        </w:rPr>
        <w:t>CONTENIDO</w:t>
      </w:r>
      <w:r w:rsidRPr="003F3177">
        <w:rPr>
          <w:rFonts w:ascii="Arial" w:eastAsia="Arial" w:hAnsi="Arial" w:cs="Arial"/>
          <w:b/>
          <w:bCs/>
          <w:iCs/>
          <w:color w:val="000000"/>
          <w:sz w:val="22"/>
          <w:szCs w:val="22"/>
          <w:lang w:eastAsia="es-ES"/>
        </w:rPr>
        <w:t>:</w:t>
      </w:r>
      <w:r w:rsidRPr="003F3177">
        <w:rPr>
          <w:rFonts w:ascii="Arial" w:eastAsia="Arial" w:hAnsi="Arial" w:cs="Arial"/>
          <w:color w:val="000000"/>
          <w:sz w:val="22"/>
          <w:szCs w:val="22"/>
          <w:lang w:eastAsia="es-ES"/>
        </w:rPr>
        <w:t> </w:t>
      </w:r>
      <w:r w:rsidR="00F7452F">
        <w:rPr>
          <w:rFonts w:ascii="Arial" w:eastAsia="Arial" w:hAnsi="Arial" w:cs="Arial"/>
          <w:color w:val="000000"/>
          <w:sz w:val="22"/>
          <w:szCs w:val="22"/>
          <w:lang w:eastAsia="es-ES"/>
        </w:rPr>
        <w:t>El estudio contendrá como mínimo los siguientes temas:</w:t>
      </w:r>
      <w:r w:rsidRPr="003F3177">
        <w:rPr>
          <w:rFonts w:ascii="Arial" w:eastAsia="Arial" w:hAnsi="Arial" w:cs="Arial"/>
          <w:color w:val="000000"/>
          <w:sz w:val="22"/>
          <w:szCs w:val="22"/>
          <w:lang w:eastAsia="es-ES"/>
        </w:rPr>
        <w:t xml:space="preserve"> </w:t>
      </w:r>
    </w:p>
    <w:p w14:paraId="4E8D68EF" w14:textId="4AAAB707" w:rsidR="003F3177" w:rsidRPr="003F3177" w:rsidRDefault="003F3177" w:rsidP="003F3177">
      <w:pPr>
        <w:spacing w:before="240" w:after="240" w:line="276" w:lineRule="auto"/>
        <w:jc w:val="both"/>
        <w:rPr>
          <w:rFonts w:ascii="Arial" w:eastAsia="Arial" w:hAnsi="Arial" w:cs="Arial"/>
          <w:color w:val="000000"/>
          <w:sz w:val="22"/>
          <w:szCs w:val="22"/>
          <w:lang w:eastAsia="es-ES"/>
        </w:rPr>
      </w:pPr>
      <w:r w:rsidRPr="003F3177">
        <w:rPr>
          <w:rFonts w:ascii="Arial" w:eastAsia="Arial" w:hAnsi="Arial" w:cs="Arial"/>
          <w:color w:val="000000"/>
          <w:sz w:val="22"/>
          <w:szCs w:val="22"/>
          <w:lang w:eastAsia="es-ES"/>
        </w:rPr>
        <w:t xml:space="preserve">a) Realizar el análisis de la </w:t>
      </w:r>
      <w:r w:rsidR="00382773">
        <w:rPr>
          <w:rFonts w:ascii="Arial" w:eastAsia="Arial" w:hAnsi="Arial" w:cs="Arial"/>
          <w:color w:val="000000"/>
          <w:sz w:val="22"/>
          <w:szCs w:val="22"/>
          <w:lang w:eastAsia="es-ES"/>
        </w:rPr>
        <w:t xml:space="preserve">composición de las </w:t>
      </w:r>
      <w:r w:rsidR="00E91062">
        <w:rPr>
          <w:rFonts w:ascii="Arial" w:eastAsia="Arial" w:hAnsi="Arial" w:cs="Arial"/>
          <w:color w:val="000000"/>
          <w:sz w:val="22"/>
          <w:szCs w:val="22"/>
          <w:lang w:eastAsia="es-ES"/>
        </w:rPr>
        <w:t>obligaciones</w:t>
      </w:r>
      <w:r w:rsidR="007246C8">
        <w:rPr>
          <w:rFonts w:ascii="Arial" w:eastAsia="Arial" w:hAnsi="Arial" w:cs="Arial"/>
          <w:color w:val="000000"/>
          <w:sz w:val="22"/>
          <w:szCs w:val="22"/>
          <w:lang w:eastAsia="es-ES"/>
        </w:rPr>
        <w:t xml:space="preserve"> p</w:t>
      </w:r>
      <w:r w:rsidR="00382773">
        <w:rPr>
          <w:rFonts w:ascii="Arial" w:eastAsia="Arial" w:hAnsi="Arial" w:cs="Arial"/>
          <w:color w:val="000000"/>
          <w:sz w:val="22"/>
          <w:szCs w:val="22"/>
          <w:lang w:eastAsia="es-ES"/>
        </w:rPr>
        <w:t>or pagar</w:t>
      </w:r>
      <w:r w:rsidR="000B329B">
        <w:rPr>
          <w:rFonts w:ascii="Arial" w:eastAsia="Arial" w:hAnsi="Arial" w:cs="Arial"/>
          <w:color w:val="000000"/>
          <w:sz w:val="22"/>
          <w:szCs w:val="22"/>
          <w:lang w:eastAsia="es-ES"/>
        </w:rPr>
        <w:t xml:space="preserve"> acumuladas</w:t>
      </w:r>
      <w:r w:rsidR="00382773">
        <w:rPr>
          <w:rFonts w:ascii="Arial" w:eastAsia="Arial" w:hAnsi="Arial" w:cs="Arial"/>
          <w:color w:val="000000"/>
          <w:sz w:val="22"/>
          <w:szCs w:val="22"/>
          <w:lang w:eastAsia="es-ES"/>
        </w:rPr>
        <w:t xml:space="preserve"> en cabeza de</w:t>
      </w:r>
      <w:r w:rsidR="00F7452F">
        <w:rPr>
          <w:rFonts w:ascii="Arial" w:eastAsia="Arial" w:hAnsi="Arial" w:cs="Arial"/>
          <w:color w:val="000000"/>
          <w:sz w:val="22"/>
          <w:szCs w:val="22"/>
          <w:lang w:eastAsia="es-ES"/>
        </w:rPr>
        <w:t xml:space="preserve"> los</w:t>
      </w:r>
      <w:r w:rsidR="00382773">
        <w:rPr>
          <w:rFonts w:ascii="Arial" w:eastAsia="Arial" w:hAnsi="Arial" w:cs="Arial"/>
          <w:color w:val="000000"/>
          <w:sz w:val="22"/>
          <w:szCs w:val="22"/>
          <w:lang w:eastAsia="es-ES"/>
        </w:rPr>
        <w:t xml:space="preserve"> Fondo</w:t>
      </w:r>
      <w:r w:rsidR="00F7452F">
        <w:rPr>
          <w:rFonts w:ascii="Arial" w:eastAsia="Arial" w:hAnsi="Arial" w:cs="Arial"/>
          <w:color w:val="000000"/>
          <w:sz w:val="22"/>
          <w:szCs w:val="22"/>
          <w:lang w:eastAsia="es-ES"/>
        </w:rPr>
        <w:t>s</w:t>
      </w:r>
      <w:r w:rsidR="00382773">
        <w:rPr>
          <w:rFonts w:ascii="Arial" w:eastAsia="Arial" w:hAnsi="Arial" w:cs="Arial"/>
          <w:color w:val="000000"/>
          <w:sz w:val="22"/>
          <w:szCs w:val="22"/>
          <w:lang w:eastAsia="es-ES"/>
        </w:rPr>
        <w:t xml:space="preserve"> de Desarrollo Local o Rural, según sea el caso</w:t>
      </w:r>
      <w:r w:rsidR="00F7452F">
        <w:rPr>
          <w:rFonts w:ascii="Arial" w:eastAsia="Arial" w:hAnsi="Arial" w:cs="Arial"/>
          <w:color w:val="000000"/>
          <w:sz w:val="22"/>
          <w:szCs w:val="22"/>
          <w:lang w:eastAsia="es-ES"/>
        </w:rPr>
        <w:t>.</w:t>
      </w:r>
    </w:p>
    <w:p w14:paraId="60576FFF" w14:textId="5403A168" w:rsidR="003F3177" w:rsidRDefault="003F3177" w:rsidP="003F3177">
      <w:pPr>
        <w:spacing w:before="240" w:after="240" w:line="276" w:lineRule="auto"/>
        <w:jc w:val="both"/>
        <w:rPr>
          <w:rFonts w:ascii="Arial" w:eastAsia="Arial" w:hAnsi="Arial" w:cs="Arial"/>
          <w:color w:val="000000"/>
          <w:sz w:val="22"/>
          <w:szCs w:val="22"/>
          <w:lang w:eastAsia="es-ES"/>
        </w:rPr>
      </w:pPr>
      <w:r w:rsidRPr="003F3177">
        <w:rPr>
          <w:rFonts w:ascii="Arial" w:eastAsia="Arial" w:hAnsi="Arial" w:cs="Arial"/>
          <w:color w:val="000000"/>
          <w:sz w:val="22"/>
          <w:szCs w:val="22"/>
          <w:lang w:eastAsia="es-ES"/>
        </w:rPr>
        <w:t xml:space="preserve">b) Estudiar y evaluar el </w:t>
      </w:r>
      <w:r w:rsidR="00F7452F">
        <w:rPr>
          <w:rFonts w:ascii="Arial" w:eastAsia="Arial" w:hAnsi="Arial" w:cs="Arial"/>
          <w:color w:val="000000"/>
          <w:sz w:val="22"/>
          <w:szCs w:val="22"/>
          <w:lang w:eastAsia="es-ES"/>
        </w:rPr>
        <w:t xml:space="preserve">nivel de </w:t>
      </w:r>
      <w:r w:rsidRPr="003F3177">
        <w:rPr>
          <w:rFonts w:ascii="Arial" w:eastAsia="Arial" w:hAnsi="Arial" w:cs="Arial"/>
          <w:color w:val="000000"/>
          <w:sz w:val="22"/>
          <w:szCs w:val="22"/>
          <w:lang w:eastAsia="es-ES"/>
        </w:rPr>
        <w:t xml:space="preserve">cumplimiento de </w:t>
      </w:r>
      <w:r w:rsidR="00382773">
        <w:rPr>
          <w:rFonts w:ascii="Arial" w:eastAsia="Arial" w:hAnsi="Arial" w:cs="Arial"/>
          <w:color w:val="000000"/>
          <w:sz w:val="22"/>
          <w:szCs w:val="22"/>
          <w:lang w:eastAsia="es-ES"/>
        </w:rPr>
        <w:t xml:space="preserve">las circulares expedidas por la Secretaría Distrital de Hacienda donde se establezcan lineamientos para el </w:t>
      </w:r>
      <w:r w:rsidR="00382773" w:rsidRPr="00382773">
        <w:rPr>
          <w:rFonts w:ascii="Arial" w:eastAsia="Arial" w:hAnsi="Arial" w:cs="Arial"/>
          <w:color w:val="000000"/>
          <w:sz w:val="22"/>
          <w:szCs w:val="22"/>
          <w:lang w:eastAsia="es-ES"/>
        </w:rPr>
        <w:t>saneamiento de las Obligaciones por Pagar constituidas por los Fondos de Desarrollo Local.</w:t>
      </w:r>
    </w:p>
    <w:p w14:paraId="2A53F2D7" w14:textId="418369FD" w:rsidR="00E94D06" w:rsidRPr="003F3177" w:rsidRDefault="00E94D06" w:rsidP="003F3177">
      <w:pPr>
        <w:spacing w:before="240" w:after="240" w:line="276" w:lineRule="auto"/>
        <w:jc w:val="both"/>
        <w:rPr>
          <w:rFonts w:ascii="Arial" w:eastAsia="Arial" w:hAnsi="Arial" w:cs="Arial"/>
          <w:color w:val="000000"/>
          <w:sz w:val="22"/>
          <w:szCs w:val="22"/>
          <w:lang w:eastAsia="es-ES"/>
        </w:rPr>
      </w:pPr>
      <w:r>
        <w:rPr>
          <w:rFonts w:ascii="Arial" w:eastAsia="Arial" w:hAnsi="Arial" w:cs="Arial"/>
          <w:color w:val="000000"/>
          <w:sz w:val="22"/>
          <w:szCs w:val="22"/>
          <w:lang w:eastAsia="es-ES"/>
        </w:rPr>
        <w:t xml:space="preserve">c) Precisar cuáles son las herramientas recomendadas para lograr el pronto saneamiento </w:t>
      </w:r>
      <w:r w:rsidRPr="00E94D06">
        <w:rPr>
          <w:rFonts w:ascii="Arial" w:eastAsia="Arial" w:hAnsi="Arial" w:cs="Arial"/>
          <w:color w:val="000000"/>
          <w:sz w:val="22"/>
          <w:szCs w:val="22"/>
          <w:lang w:eastAsia="es-ES"/>
        </w:rPr>
        <w:t>de obligaciones por pagar en los Fondos de Desarrollo Local del Distrito Capital y el Fondo de Desarrollo Rural de Sumapaz</w:t>
      </w:r>
      <w:r>
        <w:rPr>
          <w:rFonts w:ascii="Arial" w:eastAsia="Arial" w:hAnsi="Arial" w:cs="Arial"/>
          <w:color w:val="000000"/>
          <w:sz w:val="22"/>
          <w:szCs w:val="22"/>
          <w:lang w:eastAsia="es-ES"/>
        </w:rPr>
        <w:t xml:space="preserve">. </w:t>
      </w:r>
    </w:p>
    <w:p w14:paraId="16627171" w14:textId="0C3ED798" w:rsidR="003F3177" w:rsidRPr="00C13E50" w:rsidRDefault="00E94D06" w:rsidP="003F3177">
      <w:pPr>
        <w:spacing w:before="240" w:after="240" w:line="276" w:lineRule="auto"/>
        <w:jc w:val="both"/>
        <w:rPr>
          <w:rFonts w:ascii="Arial" w:eastAsia="Arial" w:hAnsi="Arial" w:cs="Arial"/>
          <w:sz w:val="22"/>
          <w:szCs w:val="22"/>
        </w:rPr>
      </w:pPr>
      <w:r>
        <w:rPr>
          <w:rFonts w:ascii="Arial" w:eastAsia="Arial" w:hAnsi="Arial" w:cs="Arial"/>
          <w:color w:val="000000"/>
          <w:sz w:val="22"/>
          <w:szCs w:val="22"/>
          <w:lang w:eastAsia="es-ES"/>
        </w:rPr>
        <w:t>d</w:t>
      </w:r>
      <w:r w:rsidR="003F3177" w:rsidRPr="003F3177">
        <w:rPr>
          <w:rFonts w:ascii="Arial" w:eastAsia="Arial" w:hAnsi="Arial" w:cs="Arial"/>
          <w:color w:val="000000"/>
          <w:sz w:val="22"/>
          <w:szCs w:val="22"/>
          <w:lang w:eastAsia="es-ES"/>
        </w:rPr>
        <w:t>) </w:t>
      </w:r>
      <w:r w:rsidR="00F7452F">
        <w:rPr>
          <w:rFonts w:ascii="Arial" w:eastAsia="Arial" w:hAnsi="Arial" w:cs="Arial"/>
          <w:color w:val="000000"/>
          <w:sz w:val="22"/>
          <w:szCs w:val="22"/>
          <w:lang w:eastAsia="es-ES"/>
        </w:rPr>
        <w:t xml:space="preserve">Establecer si la información recolectada y analizada sustenta la </w:t>
      </w:r>
      <w:r w:rsidR="00F85E22">
        <w:rPr>
          <w:rFonts w:ascii="Arial" w:eastAsia="Arial" w:hAnsi="Arial" w:cs="Arial"/>
          <w:color w:val="000000"/>
          <w:sz w:val="22"/>
          <w:szCs w:val="22"/>
          <w:lang w:eastAsia="es-ES"/>
        </w:rPr>
        <w:t>pertinencia</w:t>
      </w:r>
      <w:r w:rsidR="00F7452F">
        <w:rPr>
          <w:rFonts w:ascii="Arial" w:eastAsia="Arial" w:hAnsi="Arial" w:cs="Arial"/>
          <w:color w:val="000000"/>
          <w:sz w:val="22"/>
          <w:szCs w:val="22"/>
          <w:lang w:eastAsia="es-ES"/>
        </w:rPr>
        <w:t xml:space="preserve"> de la creación de los Comités</w:t>
      </w:r>
      <w:r w:rsidR="00F7452F" w:rsidRPr="003F3177">
        <w:rPr>
          <w:rFonts w:ascii="Arial" w:eastAsia="Arial" w:hAnsi="Arial" w:cs="Arial"/>
          <w:color w:val="000000"/>
          <w:sz w:val="22"/>
          <w:szCs w:val="22"/>
          <w:lang w:eastAsia="es-ES"/>
        </w:rPr>
        <w:t xml:space="preserve"> </w:t>
      </w:r>
      <w:r w:rsidR="00F7452F" w:rsidRPr="00A11EB6">
        <w:rPr>
          <w:rFonts w:ascii="Arial" w:eastAsia="Arial" w:hAnsi="Arial" w:cs="Arial"/>
          <w:color w:val="000000"/>
          <w:sz w:val="22"/>
          <w:szCs w:val="22"/>
          <w:lang w:eastAsia="es-ES"/>
        </w:rPr>
        <w:t>para el saneamiento de obligaciones por pagar en los Fondos de Desarrollo Local del Distrito Capital y el Fondo de Desarrollo Rural de Sumapaz</w:t>
      </w:r>
      <w:r>
        <w:rPr>
          <w:rFonts w:ascii="Arial" w:eastAsia="Arial" w:hAnsi="Arial" w:cs="Arial"/>
          <w:color w:val="000000"/>
          <w:sz w:val="22"/>
          <w:szCs w:val="22"/>
          <w:lang w:eastAsia="es-ES"/>
        </w:rPr>
        <w:t xml:space="preserve"> para mantener </w:t>
      </w:r>
      <w:r>
        <w:rPr>
          <w:rFonts w:ascii="Arial" w:eastAsia="Arial" w:hAnsi="Arial" w:cs="Arial"/>
          <w:sz w:val="22"/>
          <w:szCs w:val="22"/>
        </w:rPr>
        <w:t xml:space="preserve">una salud financiera permanente conservando </w:t>
      </w:r>
      <w:r w:rsidRPr="0013233C">
        <w:rPr>
          <w:rFonts w:ascii="Arial" w:eastAsia="Arial" w:hAnsi="Arial" w:cs="Arial"/>
          <w:sz w:val="22"/>
          <w:szCs w:val="22"/>
        </w:rPr>
        <w:t>una cultura de pago oportuno</w:t>
      </w:r>
      <w:r w:rsidR="00C13E50">
        <w:rPr>
          <w:rFonts w:ascii="Arial" w:eastAsia="Arial" w:hAnsi="Arial" w:cs="Arial"/>
          <w:sz w:val="22"/>
          <w:szCs w:val="22"/>
        </w:rPr>
        <w:t xml:space="preserve"> y </w:t>
      </w:r>
      <w:r w:rsidRPr="0013233C">
        <w:rPr>
          <w:rFonts w:ascii="Arial" w:eastAsia="Arial" w:hAnsi="Arial" w:cs="Arial"/>
          <w:sz w:val="22"/>
          <w:szCs w:val="22"/>
        </w:rPr>
        <w:t>que incentive la participación de una mayor pluralidad de oferentes en los procesos de contratación pública con estas Entidades</w:t>
      </w:r>
      <w:r>
        <w:rPr>
          <w:rFonts w:ascii="Arial" w:eastAsia="Arial" w:hAnsi="Arial" w:cs="Arial"/>
          <w:sz w:val="22"/>
          <w:szCs w:val="22"/>
        </w:rPr>
        <w:t>.</w:t>
      </w:r>
    </w:p>
    <w:p w14:paraId="1AA0A7AA" w14:textId="5EB93BD6" w:rsidR="00192C82" w:rsidRPr="00192C82" w:rsidRDefault="003F3177" w:rsidP="009F14A7">
      <w:pPr>
        <w:spacing w:before="240" w:after="240" w:line="276" w:lineRule="auto"/>
        <w:jc w:val="both"/>
        <w:rPr>
          <w:rFonts w:ascii="Arial" w:eastAsia="Arial" w:hAnsi="Arial" w:cs="Arial"/>
          <w:b/>
          <w:color w:val="000000"/>
          <w:sz w:val="22"/>
          <w:szCs w:val="22"/>
          <w:lang w:eastAsia="es-ES"/>
        </w:rPr>
      </w:pPr>
      <w:r>
        <w:rPr>
          <w:rFonts w:ascii="Arial" w:eastAsia="Arial" w:hAnsi="Arial" w:cs="Arial"/>
          <w:b/>
          <w:color w:val="000000"/>
          <w:sz w:val="22"/>
          <w:szCs w:val="22"/>
          <w:lang w:eastAsia="es-ES"/>
        </w:rPr>
        <w:t>ARTÍCULO</w:t>
      </w:r>
      <w:r w:rsidR="00D22018">
        <w:rPr>
          <w:rFonts w:ascii="Arial" w:eastAsia="Arial" w:hAnsi="Arial" w:cs="Arial"/>
          <w:b/>
          <w:color w:val="000000"/>
          <w:sz w:val="22"/>
          <w:szCs w:val="22"/>
          <w:lang w:eastAsia="es-ES"/>
        </w:rPr>
        <w:t xml:space="preserve"> </w:t>
      </w:r>
      <w:r w:rsidR="009F14A7">
        <w:rPr>
          <w:rFonts w:ascii="Arial" w:eastAsia="Arial" w:hAnsi="Arial" w:cs="Arial"/>
          <w:b/>
          <w:color w:val="000000"/>
          <w:sz w:val="22"/>
          <w:szCs w:val="22"/>
          <w:lang w:eastAsia="es-ES"/>
        </w:rPr>
        <w:t>4</w:t>
      </w:r>
      <w:r w:rsidR="00D22018">
        <w:rPr>
          <w:rFonts w:ascii="Arial" w:eastAsia="Arial" w:hAnsi="Arial" w:cs="Arial"/>
          <w:b/>
          <w:color w:val="000000"/>
          <w:sz w:val="22"/>
          <w:szCs w:val="22"/>
          <w:lang w:eastAsia="es-ES"/>
        </w:rPr>
        <w:t xml:space="preserve">.- </w:t>
      </w:r>
      <w:r w:rsidR="009F14A7">
        <w:rPr>
          <w:rFonts w:ascii="Arial" w:eastAsia="Arial" w:hAnsi="Arial" w:cs="Arial"/>
          <w:b/>
          <w:color w:val="000000"/>
          <w:sz w:val="22"/>
          <w:szCs w:val="22"/>
          <w:lang w:eastAsia="es-ES"/>
        </w:rPr>
        <w:t xml:space="preserve">PLAZO, </w:t>
      </w:r>
      <w:r w:rsidR="00D22018">
        <w:rPr>
          <w:rFonts w:ascii="Arial" w:eastAsia="Arial" w:hAnsi="Arial" w:cs="Arial"/>
          <w:b/>
          <w:color w:val="000000"/>
          <w:sz w:val="22"/>
          <w:szCs w:val="22"/>
          <w:lang w:eastAsia="es-ES"/>
        </w:rPr>
        <w:t xml:space="preserve">SEGUIMIENTO Y </w:t>
      </w:r>
      <w:r>
        <w:rPr>
          <w:rFonts w:ascii="Arial" w:eastAsia="Arial" w:hAnsi="Arial" w:cs="Arial"/>
          <w:b/>
          <w:color w:val="000000"/>
          <w:sz w:val="22"/>
          <w:szCs w:val="22"/>
          <w:lang w:eastAsia="es-ES"/>
        </w:rPr>
        <w:t>EVALUACIÓN</w:t>
      </w:r>
      <w:r w:rsidR="009F14A7">
        <w:rPr>
          <w:rFonts w:ascii="Arial" w:eastAsia="Arial" w:hAnsi="Arial" w:cs="Arial"/>
          <w:b/>
          <w:color w:val="000000"/>
          <w:sz w:val="22"/>
          <w:szCs w:val="22"/>
          <w:lang w:eastAsia="es-ES"/>
        </w:rPr>
        <w:t xml:space="preserve"> DEL ESTUDIO</w:t>
      </w:r>
      <w:r w:rsidR="00D22018">
        <w:rPr>
          <w:rFonts w:ascii="Arial" w:eastAsia="Arial" w:hAnsi="Arial" w:cs="Arial"/>
          <w:b/>
          <w:color w:val="000000"/>
          <w:sz w:val="22"/>
          <w:szCs w:val="22"/>
          <w:lang w:eastAsia="es-ES"/>
        </w:rPr>
        <w:t xml:space="preserve">: </w:t>
      </w:r>
      <w:r w:rsidR="009F14A7">
        <w:rPr>
          <w:rFonts w:ascii="Arial" w:eastAsia="Arial" w:hAnsi="Arial" w:cs="Arial"/>
          <w:color w:val="000000"/>
          <w:sz w:val="22"/>
          <w:szCs w:val="22"/>
          <w:lang w:eastAsia="es-ES"/>
        </w:rPr>
        <w:t xml:space="preserve">La Administración Distrital tendrá un plazo de </w:t>
      </w:r>
      <w:r w:rsidR="00701ADD">
        <w:rPr>
          <w:rFonts w:ascii="Arial" w:eastAsia="Arial" w:hAnsi="Arial" w:cs="Arial"/>
          <w:color w:val="000000"/>
          <w:sz w:val="22"/>
          <w:szCs w:val="22"/>
          <w:lang w:eastAsia="es-ES"/>
        </w:rPr>
        <w:t>dos (</w:t>
      </w:r>
      <w:r w:rsidR="009F14A7">
        <w:rPr>
          <w:rFonts w:ascii="Arial" w:eastAsia="Arial" w:hAnsi="Arial" w:cs="Arial"/>
          <w:color w:val="000000"/>
          <w:sz w:val="22"/>
          <w:szCs w:val="22"/>
          <w:lang w:eastAsia="es-ES"/>
        </w:rPr>
        <w:t>2</w:t>
      </w:r>
      <w:r w:rsidR="00701ADD">
        <w:rPr>
          <w:rFonts w:ascii="Arial" w:eastAsia="Arial" w:hAnsi="Arial" w:cs="Arial"/>
          <w:color w:val="000000"/>
          <w:sz w:val="22"/>
          <w:szCs w:val="22"/>
          <w:lang w:eastAsia="es-ES"/>
        </w:rPr>
        <w:t>)</w:t>
      </w:r>
      <w:r w:rsidR="009F14A7">
        <w:rPr>
          <w:rFonts w:ascii="Arial" w:eastAsia="Arial" w:hAnsi="Arial" w:cs="Arial"/>
          <w:color w:val="000000"/>
          <w:sz w:val="22"/>
          <w:szCs w:val="22"/>
          <w:lang w:eastAsia="es-ES"/>
        </w:rPr>
        <w:t xml:space="preserve"> años a partir de la entrada en vigencia d</w:t>
      </w:r>
      <w:r w:rsidR="002D3B2F">
        <w:rPr>
          <w:rFonts w:ascii="Arial" w:eastAsia="Arial" w:hAnsi="Arial" w:cs="Arial"/>
          <w:color w:val="000000"/>
          <w:sz w:val="22"/>
          <w:szCs w:val="22"/>
          <w:lang w:eastAsia="es-ES"/>
        </w:rPr>
        <w:t>e este Acuerdo para presentar las conclusiones del</w:t>
      </w:r>
      <w:r w:rsidR="009F14A7">
        <w:rPr>
          <w:rFonts w:ascii="Arial" w:eastAsia="Arial" w:hAnsi="Arial" w:cs="Arial"/>
          <w:color w:val="000000"/>
          <w:sz w:val="22"/>
          <w:szCs w:val="22"/>
          <w:lang w:eastAsia="es-ES"/>
        </w:rPr>
        <w:t xml:space="preserve"> estudio. Sin embargo, deberá la Admi</w:t>
      </w:r>
      <w:r w:rsidR="00E94D06">
        <w:rPr>
          <w:rFonts w:ascii="Arial" w:eastAsia="Arial" w:hAnsi="Arial" w:cs="Arial"/>
          <w:color w:val="000000"/>
          <w:sz w:val="22"/>
          <w:szCs w:val="22"/>
          <w:lang w:eastAsia="es-ES"/>
        </w:rPr>
        <w:t xml:space="preserve">nistración Distrital presentar </w:t>
      </w:r>
      <w:r w:rsidR="009F14A7">
        <w:rPr>
          <w:rFonts w:ascii="Arial" w:eastAsia="Arial" w:hAnsi="Arial" w:cs="Arial"/>
          <w:color w:val="000000"/>
          <w:sz w:val="22"/>
          <w:szCs w:val="22"/>
          <w:lang w:eastAsia="es-ES"/>
        </w:rPr>
        <w:t>de manera seme</w:t>
      </w:r>
      <w:r w:rsidR="00E94D06">
        <w:rPr>
          <w:rFonts w:ascii="Arial" w:eastAsia="Arial" w:hAnsi="Arial" w:cs="Arial"/>
          <w:color w:val="000000"/>
          <w:sz w:val="22"/>
          <w:szCs w:val="22"/>
          <w:lang w:eastAsia="es-ES"/>
        </w:rPr>
        <w:t>stral ante el Concejo de Bogotá</w:t>
      </w:r>
      <w:r w:rsidR="009F14A7">
        <w:rPr>
          <w:rFonts w:ascii="Arial" w:eastAsia="Arial" w:hAnsi="Arial" w:cs="Arial"/>
          <w:color w:val="000000"/>
          <w:sz w:val="22"/>
          <w:szCs w:val="22"/>
          <w:lang w:eastAsia="es-ES"/>
        </w:rPr>
        <w:t xml:space="preserve"> los avances realizados. </w:t>
      </w:r>
    </w:p>
    <w:p w14:paraId="4BE30C7F" w14:textId="019F3073" w:rsidR="00464D0F" w:rsidRDefault="00192C82">
      <w:pPr>
        <w:spacing w:before="240" w:line="276" w:lineRule="auto"/>
        <w:jc w:val="both"/>
        <w:rPr>
          <w:rFonts w:ascii="Arial" w:eastAsia="Arial" w:hAnsi="Arial" w:cs="Arial"/>
          <w:sz w:val="22"/>
          <w:szCs w:val="22"/>
        </w:rPr>
      </w:pPr>
      <w:r>
        <w:rPr>
          <w:rFonts w:ascii="Arial" w:eastAsia="Arial" w:hAnsi="Arial" w:cs="Arial"/>
          <w:b/>
          <w:sz w:val="22"/>
          <w:szCs w:val="22"/>
        </w:rPr>
        <w:t xml:space="preserve">ARTÍCULO </w:t>
      </w:r>
      <w:r w:rsidR="009F14A7">
        <w:rPr>
          <w:rFonts w:ascii="Arial" w:eastAsia="Arial" w:hAnsi="Arial" w:cs="Arial"/>
          <w:b/>
          <w:sz w:val="22"/>
          <w:szCs w:val="22"/>
        </w:rPr>
        <w:t>5</w:t>
      </w:r>
      <w:r w:rsidR="008C0B08">
        <w:rPr>
          <w:rFonts w:ascii="Arial" w:eastAsia="Arial" w:hAnsi="Arial" w:cs="Arial"/>
          <w:b/>
          <w:sz w:val="22"/>
          <w:szCs w:val="22"/>
        </w:rPr>
        <w:t>.- VIGENCIA.</w:t>
      </w:r>
      <w:r w:rsidR="008C0B08">
        <w:rPr>
          <w:rFonts w:ascii="Arial" w:eastAsia="Arial" w:hAnsi="Arial" w:cs="Arial"/>
          <w:sz w:val="22"/>
          <w:szCs w:val="22"/>
        </w:rPr>
        <w:t xml:space="preserve"> El presente Acuerdo rige a partir de la fecha de su publicación</w:t>
      </w:r>
      <w:r w:rsidR="00811792">
        <w:rPr>
          <w:rFonts w:ascii="Arial" w:eastAsia="Arial" w:hAnsi="Arial" w:cs="Arial"/>
          <w:sz w:val="22"/>
          <w:szCs w:val="22"/>
        </w:rPr>
        <w:t>.</w:t>
      </w:r>
    </w:p>
    <w:p w14:paraId="2102529F" w14:textId="012825F3" w:rsidR="00464D0F" w:rsidRPr="009F14A7" w:rsidRDefault="00464D0F" w:rsidP="009F14A7">
      <w:pPr>
        <w:spacing w:before="240" w:line="276" w:lineRule="auto"/>
        <w:jc w:val="both"/>
        <w:rPr>
          <w:rFonts w:ascii="Arial" w:eastAsia="Arial" w:hAnsi="Arial" w:cs="Arial"/>
          <w:b/>
          <w:sz w:val="22"/>
          <w:szCs w:val="22"/>
        </w:rPr>
      </w:pPr>
    </w:p>
    <w:p w14:paraId="71285F79" w14:textId="77777777" w:rsidR="00464D0F" w:rsidRPr="00FF6E43" w:rsidRDefault="008C0B08">
      <w:pPr>
        <w:jc w:val="center"/>
        <w:rPr>
          <w:rFonts w:ascii="Arial" w:eastAsia="Arial" w:hAnsi="Arial" w:cs="Arial"/>
          <w:b/>
          <w:sz w:val="22"/>
          <w:szCs w:val="22"/>
          <w:lang w:val="en-US"/>
        </w:rPr>
      </w:pPr>
      <w:r w:rsidRPr="00FF6E43">
        <w:rPr>
          <w:rFonts w:ascii="Arial" w:eastAsia="Arial" w:hAnsi="Arial" w:cs="Arial"/>
          <w:b/>
          <w:sz w:val="22"/>
          <w:szCs w:val="22"/>
          <w:lang w:val="en-US"/>
        </w:rPr>
        <w:t>PUBLÍQUESE Y CÚMPLASE</w:t>
      </w:r>
    </w:p>
    <w:p w14:paraId="78FA6E42" w14:textId="3A64C56D" w:rsidR="00452820" w:rsidRDefault="00452820" w:rsidP="00AF59FD">
      <w:pPr>
        <w:rPr>
          <w:rFonts w:ascii="Arial" w:eastAsia="Arial" w:hAnsi="Arial" w:cs="Arial"/>
          <w:b/>
          <w:sz w:val="22"/>
          <w:szCs w:val="22"/>
          <w:lang w:val="en-US"/>
        </w:rPr>
      </w:pPr>
    </w:p>
    <w:p w14:paraId="46F6AC5B" w14:textId="77777777" w:rsidR="00452820" w:rsidRPr="00FF6E43" w:rsidRDefault="00452820" w:rsidP="00AF59FD">
      <w:pPr>
        <w:rPr>
          <w:rFonts w:ascii="Arial" w:eastAsia="Arial" w:hAnsi="Arial" w:cs="Arial"/>
          <w:b/>
          <w:sz w:val="22"/>
          <w:szCs w:val="22"/>
          <w:lang w:val="en-US"/>
        </w:rPr>
      </w:pPr>
    </w:p>
    <w:p w14:paraId="2F5C2496" w14:textId="77777777" w:rsidR="00464D0F" w:rsidRPr="00FF6E43" w:rsidRDefault="00464D0F">
      <w:pPr>
        <w:jc w:val="center"/>
        <w:rPr>
          <w:rFonts w:ascii="Arial" w:eastAsia="Arial" w:hAnsi="Arial" w:cs="Arial"/>
          <w:b/>
          <w:sz w:val="22"/>
          <w:szCs w:val="22"/>
          <w:lang w:val="en-US"/>
        </w:rPr>
      </w:pPr>
    </w:p>
    <w:p w14:paraId="7CF4579E" w14:textId="77777777" w:rsidR="00464D0F" w:rsidRPr="00FF6E43" w:rsidRDefault="00464D0F">
      <w:pPr>
        <w:jc w:val="center"/>
        <w:rPr>
          <w:rFonts w:ascii="Arial" w:eastAsia="Arial" w:hAnsi="Arial" w:cs="Arial"/>
          <w:b/>
          <w:sz w:val="22"/>
          <w:szCs w:val="22"/>
          <w:lang w:val="en-US"/>
        </w:rPr>
      </w:pPr>
    </w:p>
    <w:p w14:paraId="44D25364" w14:textId="781B69AA" w:rsidR="00464D0F" w:rsidRPr="00452820" w:rsidRDefault="008C0B08" w:rsidP="00452820">
      <w:pPr>
        <w:pStyle w:val="Prrafodelista"/>
        <w:numPr>
          <w:ilvl w:val="0"/>
          <w:numId w:val="13"/>
        </w:numPr>
        <w:rPr>
          <w:rFonts w:eastAsia="Arial" w:cs="Arial"/>
          <w:b/>
          <w:sz w:val="22"/>
          <w:szCs w:val="22"/>
          <w:lang w:val="en-US"/>
        </w:rPr>
      </w:pPr>
      <w:r w:rsidRPr="00452820">
        <w:rPr>
          <w:rFonts w:eastAsia="Arial" w:cs="Arial"/>
          <w:b/>
          <w:sz w:val="22"/>
          <w:szCs w:val="22"/>
          <w:lang w:val="en-US"/>
        </w:rPr>
        <w:t>BIBLIOGRAFIA</w:t>
      </w:r>
    </w:p>
    <w:p w14:paraId="3CB2B9BF" w14:textId="375B1E35" w:rsidR="008909A4" w:rsidRPr="00FF6E43" w:rsidRDefault="008909A4" w:rsidP="008909A4">
      <w:pPr>
        <w:pBdr>
          <w:left w:val="nil"/>
          <w:bottom w:val="nil"/>
          <w:right w:val="nil"/>
          <w:between w:val="nil"/>
        </w:pBdr>
        <w:jc w:val="both"/>
        <w:rPr>
          <w:rFonts w:ascii="Arial" w:eastAsia="Arial" w:hAnsi="Arial" w:cs="Arial"/>
          <w:b/>
          <w:sz w:val="22"/>
          <w:szCs w:val="22"/>
          <w:lang w:val="en-US"/>
        </w:rPr>
      </w:pPr>
    </w:p>
    <w:p w14:paraId="2F8C999F" w14:textId="77777777" w:rsidR="008909A4" w:rsidRPr="00FF6E43" w:rsidRDefault="008909A4" w:rsidP="008909A4">
      <w:pPr>
        <w:pBdr>
          <w:left w:val="nil"/>
          <w:bottom w:val="nil"/>
          <w:right w:val="nil"/>
          <w:between w:val="nil"/>
        </w:pBdr>
        <w:jc w:val="both"/>
        <w:rPr>
          <w:rFonts w:eastAsia="Arial" w:cs="Arial"/>
          <w:b/>
          <w:sz w:val="22"/>
          <w:szCs w:val="22"/>
          <w:lang w:val="en-US"/>
        </w:rPr>
      </w:pPr>
    </w:p>
    <w:p w14:paraId="3FEE3C4F" w14:textId="77777777" w:rsidR="008909A4" w:rsidRPr="00260E73" w:rsidRDefault="008909A4" w:rsidP="008909A4">
      <w:pPr>
        <w:autoSpaceDE w:val="0"/>
        <w:autoSpaceDN w:val="0"/>
        <w:adjustRightInd w:val="0"/>
        <w:jc w:val="both"/>
        <w:rPr>
          <w:rFonts w:ascii="Arial" w:hAnsi="Arial" w:cs="Arial"/>
          <w:sz w:val="22"/>
          <w:szCs w:val="22"/>
          <w:lang w:eastAsia="es-CO"/>
        </w:rPr>
      </w:pPr>
      <w:r w:rsidRPr="00260E73">
        <w:rPr>
          <w:rFonts w:ascii="Arial" w:hAnsi="Arial" w:cs="Arial"/>
          <w:sz w:val="22"/>
          <w:szCs w:val="22"/>
          <w:lang w:val="en-US" w:eastAsia="es-CO"/>
        </w:rPr>
        <w:t xml:space="preserve">Diamond, J., y Schiller, C., 1993, “Government Arrears in Fiscal Adjustment Programs”, </w:t>
      </w:r>
      <w:r>
        <w:rPr>
          <w:rFonts w:ascii="Arial" w:hAnsi="Arial" w:cs="Arial"/>
          <w:sz w:val="22"/>
          <w:szCs w:val="22"/>
          <w:lang w:val="en-US" w:eastAsia="es-CO"/>
        </w:rPr>
        <w:t>E</w:t>
      </w:r>
      <w:r w:rsidRPr="00260E73">
        <w:rPr>
          <w:rFonts w:ascii="Arial" w:hAnsi="Arial" w:cs="Arial"/>
          <w:sz w:val="22"/>
          <w:szCs w:val="22"/>
          <w:lang w:val="en-US" w:eastAsia="es-CO"/>
        </w:rPr>
        <w:t xml:space="preserve">n </w:t>
      </w:r>
      <w:r w:rsidRPr="00260E73">
        <w:rPr>
          <w:rFonts w:ascii="Arial" w:hAnsi="Arial" w:cs="Arial"/>
          <w:i/>
          <w:iCs/>
          <w:sz w:val="22"/>
          <w:szCs w:val="22"/>
          <w:lang w:val="en-US" w:eastAsia="es-CO"/>
        </w:rPr>
        <w:t>How to Measure the Fiscal Deficit: Analytical and Methodological Issues</w:t>
      </w:r>
      <w:r w:rsidRPr="00260E73">
        <w:rPr>
          <w:rFonts w:ascii="Arial" w:hAnsi="Arial" w:cs="Arial"/>
          <w:sz w:val="22"/>
          <w:szCs w:val="22"/>
          <w:lang w:val="en-US" w:eastAsia="es-CO"/>
        </w:rPr>
        <w:t xml:space="preserve">, ed. </w:t>
      </w:r>
      <w:r w:rsidRPr="008909A4">
        <w:rPr>
          <w:rFonts w:ascii="Arial" w:hAnsi="Arial" w:cs="Arial"/>
          <w:sz w:val="22"/>
          <w:szCs w:val="22"/>
          <w:lang w:eastAsia="es-CO"/>
        </w:rPr>
        <w:t>Mario I. Blejer y Adrienne</w:t>
      </w:r>
      <w:r w:rsidRPr="008909A4">
        <w:rPr>
          <w:rFonts w:ascii="Arial" w:hAnsi="Arial" w:cs="Arial"/>
          <w:i/>
          <w:iCs/>
          <w:sz w:val="22"/>
          <w:szCs w:val="22"/>
          <w:lang w:eastAsia="es-CO"/>
        </w:rPr>
        <w:t xml:space="preserve"> </w:t>
      </w:r>
      <w:r w:rsidRPr="008909A4">
        <w:rPr>
          <w:rFonts w:ascii="Arial" w:hAnsi="Arial" w:cs="Arial"/>
          <w:sz w:val="22"/>
          <w:szCs w:val="22"/>
          <w:lang w:eastAsia="es-CO"/>
        </w:rPr>
        <w:t xml:space="preserve">Cheasty, págs. </w:t>
      </w:r>
      <w:r w:rsidRPr="00260E73">
        <w:rPr>
          <w:rFonts w:ascii="Arial" w:hAnsi="Arial" w:cs="Arial"/>
          <w:sz w:val="22"/>
          <w:szCs w:val="22"/>
          <w:lang w:eastAsia="es-CO"/>
        </w:rPr>
        <w:t>113-143 (Washington: Fondo Monetario Internacional).</w:t>
      </w:r>
    </w:p>
    <w:p w14:paraId="318C6A7B" w14:textId="77777777" w:rsidR="008909A4" w:rsidRPr="00260E73" w:rsidRDefault="008909A4" w:rsidP="008909A4">
      <w:pPr>
        <w:autoSpaceDE w:val="0"/>
        <w:autoSpaceDN w:val="0"/>
        <w:adjustRightInd w:val="0"/>
        <w:jc w:val="both"/>
        <w:rPr>
          <w:rFonts w:ascii="Arial" w:hAnsi="Arial" w:cs="Arial"/>
          <w:sz w:val="22"/>
          <w:szCs w:val="22"/>
          <w:lang w:eastAsia="es-CO"/>
        </w:rPr>
      </w:pPr>
    </w:p>
    <w:p w14:paraId="72DDCAF8" w14:textId="77777777" w:rsidR="008909A4" w:rsidRDefault="008909A4" w:rsidP="008909A4">
      <w:pPr>
        <w:autoSpaceDE w:val="0"/>
        <w:autoSpaceDN w:val="0"/>
        <w:adjustRightInd w:val="0"/>
        <w:jc w:val="both"/>
        <w:rPr>
          <w:rFonts w:ascii="Arial" w:hAnsi="Arial" w:cs="Arial"/>
          <w:sz w:val="22"/>
          <w:szCs w:val="22"/>
          <w:lang w:eastAsia="es-CO"/>
        </w:rPr>
      </w:pPr>
      <w:r w:rsidRPr="00260E73">
        <w:rPr>
          <w:rFonts w:ascii="Arial" w:hAnsi="Arial" w:cs="Arial"/>
          <w:sz w:val="22"/>
          <w:szCs w:val="22"/>
          <w:lang w:eastAsia="es-CO"/>
        </w:rPr>
        <w:t>FMI (2014) Prevención y gestión de los atrasos en el pago de los gastos públicos. En, Notas técnicas y manuales 14/01. Washington: FMI.</w:t>
      </w:r>
    </w:p>
    <w:p w14:paraId="41C08793" w14:textId="77777777" w:rsidR="008909A4" w:rsidRDefault="008909A4" w:rsidP="008909A4">
      <w:pPr>
        <w:autoSpaceDE w:val="0"/>
        <w:autoSpaceDN w:val="0"/>
        <w:adjustRightInd w:val="0"/>
        <w:jc w:val="both"/>
        <w:rPr>
          <w:rFonts w:ascii="Arial" w:hAnsi="Arial" w:cs="Arial"/>
          <w:sz w:val="22"/>
          <w:szCs w:val="22"/>
          <w:lang w:eastAsia="es-CO"/>
        </w:rPr>
      </w:pPr>
    </w:p>
    <w:p w14:paraId="121DF96F" w14:textId="77777777" w:rsidR="008909A4" w:rsidRPr="008909A4" w:rsidRDefault="008909A4" w:rsidP="008909A4">
      <w:pPr>
        <w:autoSpaceDE w:val="0"/>
        <w:autoSpaceDN w:val="0"/>
        <w:adjustRightInd w:val="0"/>
        <w:jc w:val="both"/>
        <w:rPr>
          <w:rFonts w:ascii="Arial" w:hAnsi="Arial" w:cs="Arial"/>
          <w:sz w:val="22"/>
          <w:szCs w:val="22"/>
          <w:lang w:eastAsia="es-CO"/>
        </w:rPr>
      </w:pPr>
      <w:r w:rsidRPr="008909A4">
        <w:rPr>
          <w:rFonts w:ascii="Arial" w:hAnsi="Arial" w:cs="Arial"/>
          <w:sz w:val="22"/>
          <w:szCs w:val="22"/>
          <w:lang w:eastAsia="es-CO"/>
        </w:rPr>
        <w:t xml:space="preserve">Irwin, T. C., 2012, “Accounting Devices and Fiscal Illusions”, Staff Discussion Note 12/02 (Washington, Fondo Monetario Internacional). http://www.imf.org/external/pubs/ft/ sdn/2012/sdn1202.pdf. </w:t>
      </w:r>
    </w:p>
    <w:p w14:paraId="22F6C170" w14:textId="77777777" w:rsidR="008909A4" w:rsidRPr="00957F90" w:rsidRDefault="008909A4" w:rsidP="008909A4">
      <w:pPr>
        <w:autoSpaceDE w:val="0"/>
        <w:autoSpaceDN w:val="0"/>
        <w:adjustRightInd w:val="0"/>
        <w:jc w:val="both"/>
        <w:rPr>
          <w:rFonts w:ascii="Arial" w:hAnsi="Arial" w:cs="Arial"/>
          <w:sz w:val="22"/>
          <w:szCs w:val="22"/>
          <w:lang w:eastAsia="es-CO"/>
        </w:rPr>
      </w:pPr>
    </w:p>
    <w:p w14:paraId="6F679C4F" w14:textId="77777777" w:rsidR="008909A4" w:rsidRPr="00D06C8A" w:rsidRDefault="008909A4" w:rsidP="008909A4">
      <w:pPr>
        <w:autoSpaceDE w:val="0"/>
        <w:autoSpaceDN w:val="0"/>
        <w:adjustRightInd w:val="0"/>
        <w:jc w:val="both"/>
        <w:rPr>
          <w:rFonts w:ascii="Arial" w:hAnsi="Arial" w:cs="Arial"/>
          <w:sz w:val="22"/>
          <w:szCs w:val="22"/>
          <w:lang w:eastAsia="es-CO"/>
        </w:rPr>
      </w:pPr>
      <w:r w:rsidRPr="00D06C8A">
        <w:rPr>
          <w:rFonts w:ascii="Arial" w:hAnsi="Arial" w:cs="Arial"/>
          <w:sz w:val="22"/>
          <w:szCs w:val="22"/>
          <w:lang w:eastAsia="es-CO"/>
        </w:rPr>
        <w:t xml:space="preserve">Gobierno de Portugal, 2012, “Estratégia para a redução dos pagamentos em atraso há mais de 90 dias” (Lisboa: Ministerio de Hacienda). </w:t>
      </w:r>
      <w:hyperlink r:id="rId32" w:history="1">
        <w:r w:rsidRPr="00331A22">
          <w:rPr>
            <w:rStyle w:val="Hipervnculo"/>
            <w:rFonts w:ascii="Arial" w:hAnsi="Arial" w:cs="Arial"/>
            <w:sz w:val="22"/>
            <w:szCs w:val="22"/>
            <w:lang w:eastAsia="es-CO"/>
          </w:rPr>
          <w:t>http://www.portugal.gov.pt/media/579687/20120420_mef_estrategia_reducao_pagamento_atraso.pdf</w:t>
        </w:r>
      </w:hyperlink>
      <w:r>
        <w:rPr>
          <w:rFonts w:ascii="Arial" w:hAnsi="Arial" w:cs="Arial"/>
          <w:sz w:val="22"/>
          <w:szCs w:val="22"/>
          <w:lang w:eastAsia="es-CO"/>
        </w:rPr>
        <w:t xml:space="preserve"> </w:t>
      </w:r>
    </w:p>
    <w:p w14:paraId="4BFCA483" w14:textId="77777777" w:rsidR="00431BBC" w:rsidRPr="00431BBC" w:rsidRDefault="00431BBC" w:rsidP="00C26A67">
      <w:pPr>
        <w:pStyle w:val="NormalWeb"/>
        <w:spacing w:before="0" w:beforeAutospacing="0" w:after="150" w:afterAutospacing="0"/>
        <w:jc w:val="both"/>
        <w:rPr>
          <w:rFonts w:ascii="Arial" w:eastAsia="Times New Roman" w:hAnsi="Arial" w:cs="Arial"/>
          <w:sz w:val="22"/>
          <w:szCs w:val="22"/>
          <w:lang w:eastAsia="es-CO"/>
        </w:rPr>
      </w:pPr>
    </w:p>
    <w:p w14:paraId="1B21F22C" w14:textId="13D8ADAB" w:rsidR="00C26A67" w:rsidRPr="00782F1B" w:rsidRDefault="00AD5192" w:rsidP="00C26A67">
      <w:pPr>
        <w:pStyle w:val="NormalWeb"/>
        <w:spacing w:before="0" w:beforeAutospacing="0" w:after="150" w:afterAutospacing="0"/>
        <w:jc w:val="both"/>
        <w:rPr>
          <w:rFonts w:ascii="Arial" w:eastAsia="Times New Roman" w:hAnsi="Arial" w:cs="Arial"/>
          <w:sz w:val="22"/>
          <w:szCs w:val="22"/>
          <w:lang w:eastAsia="es-CO"/>
        </w:rPr>
      </w:pPr>
      <w:r w:rsidRPr="00431BBC">
        <w:rPr>
          <w:rFonts w:ascii="Arial" w:eastAsia="Times New Roman" w:hAnsi="Arial" w:cs="Arial"/>
          <w:sz w:val="22"/>
          <w:szCs w:val="22"/>
          <w:lang w:eastAsia="es-CO"/>
        </w:rPr>
        <w:t xml:space="preserve">Concejo de Bogotá, 2020. </w:t>
      </w:r>
      <w:r w:rsidR="00737D40" w:rsidRPr="00431BBC">
        <w:rPr>
          <w:rFonts w:ascii="Arial" w:eastAsia="Times New Roman" w:hAnsi="Arial" w:cs="Arial"/>
          <w:sz w:val="22"/>
          <w:szCs w:val="22"/>
          <w:lang w:eastAsia="es-CO"/>
        </w:rPr>
        <w:t>Acuerdo 761 de 2020 por medio</w:t>
      </w:r>
      <w:r w:rsidR="00780266" w:rsidRPr="00431BBC">
        <w:rPr>
          <w:rFonts w:ascii="Arial" w:eastAsia="Times New Roman" w:hAnsi="Arial" w:cs="Arial"/>
          <w:sz w:val="22"/>
          <w:szCs w:val="22"/>
          <w:lang w:eastAsia="es-CO"/>
        </w:rPr>
        <w:t xml:space="preserve"> del cual se </w:t>
      </w:r>
      <w:r w:rsidR="00C26A67" w:rsidRPr="00431BBC">
        <w:rPr>
          <w:rFonts w:ascii="Arial" w:eastAsia="Times New Roman" w:hAnsi="Arial" w:cs="Arial"/>
          <w:sz w:val="22"/>
          <w:szCs w:val="22"/>
          <w:lang w:eastAsia="es-CO"/>
        </w:rPr>
        <w:br/>
        <w:t xml:space="preserve">Adopta el Plan de Desarrollo Económico, Social, Ambiental y de Obras Públicas y el Plan Plurianual de Inversiones para Bogotá D.C. </w:t>
      </w:r>
      <w:r w:rsidR="00431BBC" w:rsidRPr="00431BBC">
        <w:rPr>
          <w:rFonts w:ascii="Arial" w:eastAsia="Times New Roman" w:hAnsi="Arial" w:cs="Arial"/>
          <w:sz w:val="22"/>
          <w:szCs w:val="22"/>
          <w:lang w:eastAsia="es-CO"/>
        </w:rPr>
        <w:t>“</w:t>
      </w:r>
      <w:r w:rsidR="00C26A67" w:rsidRPr="00431BBC">
        <w:rPr>
          <w:rFonts w:ascii="Arial" w:eastAsia="Times New Roman" w:hAnsi="Arial" w:cs="Arial"/>
          <w:sz w:val="22"/>
          <w:szCs w:val="22"/>
          <w:lang w:eastAsia="es-CO"/>
        </w:rPr>
        <w:t xml:space="preserve">Un Nuevo Contrato Social y Ambiental para la </w:t>
      </w:r>
      <w:r w:rsidR="00C26A67" w:rsidRPr="00782F1B">
        <w:rPr>
          <w:rFonts w:ascii="Arial" w:eastAsia="Times New Roman" w:hAnsi="Arial" w:cs="Arial"/>
          <w:sz w:val="22"/>
          <w:szCs w:val="22"/>
          <w:lang w:eastAsia="es-CO"/>
        </w:rPr>
        <w:t>Bogotá del Siglo XXI</w:t>
      </w:r>
      <w:r w:rsidR="00431BBC" w:rsidRPr="00782F1B">
        <w:rPr>
          <w:rFonts w:ascii="Arial" w:eastAsia="Times New Roman" w:hAnsi="Arial" w:cs="Arial"/>
          <w:sz w:val="22"/>
          <w:szCs w:val="22"/>
          <w:lang w:eastAsia="es-CO"/>
        </w:rPr>
        <w:t>”</w:t>
      </w:r>
      <w:r w:rsidR="00C26A67" w:rsidRPr="00782F1B">
        <w:rPr>
          <w:rFonts w:ascii="Arial" w:eastAsia="Times New Roman" w:hAnsi="Arial" w:cs="Arial"/>
          <w:sz w:val="22"/>
          <w:szCs w:val="22"/>
          <w:lang w:eastAsia="es-CO"/>
        </w:rPr>
        <w:t>.</w:t>
      </w:r>
    </w:p>
    <w:p w14:paraId="54DEF369" w14:textId="530C2413" w:rsidR="007B47E1" w:rsidRPr="00782F1B" w:rsidRDefault="00D67B39">
      <w:pPr>
        <w:spacing w:before="240" w:after="240"/>
        <w:jc w:val="both"/>
        <w:rPr>
          <w:rFonts w:ascii="Arial" w:eastAsia="Arial" w:hAnsi="Arial" w:cs="Arial"/>
          <w:sz w:val="22"/>
          <w:szCs w:val="22"/>
        </w:rPr>
      </w:pPr>
      <w:r w:rsidRPr="00782F1B">
        <w:rPr>
          <w:rFonts w:ascii="Arial" w:eastAsia="Arial" w:hAnsi="Arial" w:cs="Arial"/>
          <w:sz w:val="22"/>
          <w:szCs w:val="22"/>
        </w:rPr>
        <w:t>ONU,</w:t>
      </w:r>
      <w:r w:rsidR="00094442" w:rsidRPr="00782F1B">
        <w:rPr>
          <w:rFonts w:ascii="Arial" w:eastAsia="Arial" w:hAnsi="Arial" w:cs="Arial"/>
          <w:sz w:val="22"/>
          <w:szCs w:val="22"/>
        </w:rPr>
        <w:t xml:space="preserve"> 2015.</w:t>
      </w:r>
      <w:r w:rsidRPr="00782F1B">
        <w:rPr>
          <w:rFonts w:ascii="Arial" w:eastAsia="Arial" w:hAnsi="Arial" w:cs="Arial"/>
          <w:sz w:val="22"/>
          <w:szCs w:val="22"/>
        </w:rPr>
        <w:t xml:space="preserve"> </w:t>
      </w:r>
      <w:r w:rsidR="00094442" w:rsidRPr="00782F1B">
        <w:rPr>
          <w:rFonts w:ascii="Arial" w:eastAsia="Arial" w:hAnsi="Arial" w:cs="Arial"/>
          <w:sz w:val="22"/>
          <w:szCs w:val="22"/>
        </w:rPr>
        <w:t>Objetivos de Desarrollo Sostenible.</w:t>
      </w:r>
      <w:r w:rsidR="00782F1B" w:rsidRPr="00782F1B">
        <w:rPr>
          <w:rFonts w:ascii="Arial" w:eastAsia="Arial" w:hAnsi="Arial" w:cs="Arial"/>
          <w:sz w:val="22"/>
          <w:szCs w:val="22"/>
        </w:rPr>
        <w:t xml:space="preserve"> </w:t>
      </w:r>
      <w:hyperlink r:id="rId33" w:history="1">
        <w:r w:rsidR="00782F1B" w:rsidRPr="00782F1B">
          <w:rPr>
            <w:rStyle w:val="Hipervnculo"/>
            <w:rFonts w:ascii="Arial" w:eastAsia="Arial" w:hAnsi="Arial" w:cs="Arial"/>
            <w:sz w:val="22"/>
            <w:szCs w:val="22"/>
          </w:rPr>
          <w:t>https://www.un.org/sustainabledevelopment/es/</w:t>
        </w:r>
      </w:hyperlink>
      <w:r w:rsidR="00782F1B" w:rsidRPr="00782F1B">
        <w:rPr>
          <w:rFonts w:ascii="Arial" w:eastAsia="Arial" w:hAnsi="Arial" w:cs="Arial"/>
          <w:sz w:val="22"/>
          <w:szCs w:val="22"/>
        </w:rPr>
        <w:t xml:space="preserve"> </w:t>
      </w:r>
    </w:p>
    <w:sectPr w:rsidR="007B47E1" w:rsidRPr="00782F1B">
      <w:headerReference w:type="default" r:id="rId34"/>
      <w:footerReference w:type="even" r:id="rId35"/>
      <w:footerReference w:type="default" r:id="rId36"/>
      <w:pgSz w:w="12242" w:h="15842"/>
      <w:pgMar w:top="1701" w:right="1701" w:bottom="1701" w:left="1701" w:header="1134" w:footer="85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27219D" w14:textId="77777777" w:rsidR="00971959" w:rsidRDefault="00971959">
      <w:r>
        <w:separator/>
      </w:r>
    </w:p>
  </w:endnote>
  <w:endnote w:type="continuationSeparator" w:id="0">
    <w:p w14:paraId="6388736F" w14:textId="77777777" w:rsidR="00971959" w:rsidRDefault="009719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MT">
    <w:altName w:val="Arial"/>
    <w:charset w:val="01"/>
    <w:family w:val="swiss"/>
    <w:pitch w:val="variable"/>
  </w:font>
  <w:font w:name="MoolBoran">
    <w:altName w:val="Leelawadee UI"/>
    <w:charset w:val="00"/>
    <w:family w:val="swiss"/>
    <w:pitch w:val="variable"/>
    <w:sig w:usb0="80000003" w:usb1="00000000" w:usb2="00010000" w:usb3="00000000" w:csb0="00000001" w:csb1="00000000"/>
  </w:font>
  <w:font w:name="Calibri">
    <w:panose1 w:val="020F0502020204030204"/>
    <w:charset w:val="00"/>
    <w:family w:val="swiss"/>
    <w:pitch w:val="variable"/>
    <w:sig w:usb0="E4002EFF" w:usb1="C000247B" w:usb2="00000009" w:usb3="00000000" w:csb0="000001FF" w:csb1="00000000"/>
  </w:font>
  <w:font w:name="DaunPenh">
    <w:altName w:val="Leelawadee UI Semilight"/>
    <w:charset w:val="00"/>
    <w:family w:val="auto"/>
    <w:pitch w:val="variable"/>
    <w:sig w:usb0="80000003" w:usb1="00000000" w:usb2="0001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B4C19" w14:textId="77777777" w:rsidR="009840A1" w:rsidRDefault="009840A1">
    <w:pPr>
      <w:pBdr>
        <w:top w:val="nil"/>
        <w:left w:val="nil"/>
        <w:bottom w:val="nil"/>
        <w:right w:val="nil"/>
        <w:between w:val="nil"/>
      </w:pBdr>
      <w:tabs>
        <w:tab w:val="center" w:pos="4252"/>
        <w:tab w:val="right" w:pos="8504"/>
      </w:tabs>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end"/>
    </w:r>
  </w:p>
  <w:p w14:paraId="55F32183" w14:textId="77777777" w:rsidR="009840A1" w:rsidRDefault="009840A1">
    <w:pPr>
      <w:pBdr>
        <w:top w:val="nil"/>
        <w:left w:val="nil"/>
        <w:bottom w:val="nil"/>
        <w:right w:val="nil"/>
        <w:between w:val="nil"/>
      </w:pBdr>
      <w:tabs>
        <w:tab w:val="center" w:pos="4252"/>
        <w:tab w:val="right" w:pos="8504"/>
      </w:tabs>
      <w:ind w:right="360"/>
      <w:rPr>
        <w:rFonts w:ascii="Arial" w:eastAsia="Arial" w:hAnsi="Arial" w:cs="Arial"/>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B2347D" w14:textId="77777777" w:rsidR="009840A1" w:rsidRDefault="009840A1">
    <w:pPr>
      <w:pBdr>
        <w:top w:val="nil"/>
        <w:left w:val="nil"/>
        <w:bottom w:val="nil"/>
        <w:right w:val="nil"/>
        <w:between w:val="nil"/>
      </w:pBdr>
      <w:tabs>
        <w:tab w:val="center" w:pos="4252"/>
        <w:tab w:val="right" w:pos="8504"/>
      </w:tabs>
      <w:jc w:val="center"/>
      <w:rPr>
        <w:rFonts w:ascii="Arial" w:eastAsia="Arial" w:hAnsi="Arial" w:cs="Arial"/>
        <w:color w:val="000000"/>
        <w:sz w:val="18"/>
        <w:szCs w:val="18"/>
      </w:rPr>
    </w:pPr>
  </w:p>
  <w:p w14:paraId="5D947FD7" w14:textId="77777777" w:rsidR="009840A1" w:rsidRDefault="009840A1">
    <w:pPr>
      <w:pBdr>
        <w:top w:val="nil"/>
        <w:left w:val="nil"/>
        <w:bottom w:val="nil"/>
        <w:right w:val="nil"/>
        <w:between w:val="nil"/>
      </w:pBdr>
      <w:tabs>
        <w:tab w:val="center" w:pos="4252"/>
        <w:tab w:val="right" w:pos="8504"/>
      </w:tabs>
      <w:jc w:val="center"/>
      <w:rPr>
        <w:rFonts w:ascii="Arial" w:eastAsia="Arial" w:hAnsi="Arial" w:cs="Arial"/>
        <w:color w:val="000000"/>
        <w:sz w:val="18"/>
        <w:szCs w:val="18"/>
      </w:rPr>
    </w:pPr>
  </w:p>
  <w:p w14:paraId="24F9528B" w14:textId="77777777" w:rsidR="009840A1" w:rsidRDefault="009840A1">
    <w:pPr>
      <w:pBdr>
        <w:top w:val="nil"/>
        <w:left w:val="nil"/>
        <w:bottom w:val="nil"/>
        <w:right w:val="nil"/>
        <w:between w:val="nil"/>
      </w:pBdr>
      <w:tabs>
        <w:tab w:val="center" w:pos="4252"/>
        <w:tab w:val="right" w:pos="8504"/>
      </w:tabs>
      <w:jc w:val="center"/>
      <w:rPr>
        <w:rFonts w:ascii="Arial" w:eastAsia="Arial" w:hAnsi="Arial" w:cs="Arial"/>
        <w:color w:val="000000"/>
        <w:sz w:val="16"/>
        <w:szCs w:val="16"/>
      </w:rPr>
    </w:pPr>
  </w:p>
  <w:p w14:paraId="0BE06681" w14:textId="77777777" w:rsidR="009840A1" w:rsidRDefault="009840A1">
    <w:pPr>
      <w:pBdr>
        <w:top w:val="nil"/>
        <w:left w:val="nil"/>
        <w:bottom w:val="nil"/>
        <w:right w:val="nil"/>
        <w:between w:val="nil"/>
      </w:pBdr>
      <w:tabs>
        <w:tab w:val="center" w:pos="4252"/>
        <w:tab w:val="right" w:pos="8504"/>
      </w:tabs>
      <w:rPr>
        <w:rFonts w:ascii="Arial" w:eastAsia="Arial" w:hAnsi="Arial" w:cs="Arial"/>
        <w:color w:val="000000"/>
        <w:sz w:val="16"/>
        <w:szCs w:val="16"/>
      </w:rPr>
    </w:pPr>
  </w:p>
  <w:p w14:paraId="3AC92BB2" w14:textId="77777777" w:rsidR="009840A1" w:rsidRDefault="009840A1">
    <w:pPr>
      <w:pBdr>
        <w:top w:val="nil"/>
        <w:left w:val="nil"/>
        <w:bottom w:val="nil"/>
        <w:right w:val="nil"/>
        <w:between w:val="nil"/>
      </w:pBdr>
      <w:tabs>
        <w:tab w:val="center" w:pos="4252"/>
        <w:tab w:val="right" w:pos="8504"/>
      </w:tabs>
      <w:rPr>
        <w:rFonts w:ascii="Arial" w:eastAsia="Arial" w:hAnsi="Arial" w:cs="Arial"/>
        <w:color w:val="000000"/>
        <w:sz w:val="16"/>
        <w:szCs w:val="16"/>
      </w:rPr>
    </w:pPr>
  </w:p>
  <w:p w14:paraId="529E146B" w14:textId="77777777" w:rsidR="009840A1" w:rsidRDefault="009840A1">
    <w:pPr>
      <w:jc w:val="right"/>
      <w:rPr>
        <w:b/>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1A066F" w14:textId="77777777" w:rsidR="00971959" w:rsidRDefault="00971959">
      <w:r>
        <w:separator/>
      </w:r>
    </w:p>
  </w:footnote>
  <w:footnote w:type="continuationSeparator" w:id="0">
    <w:p w14:paraId="38929B83" w14:textId="77777777" w:rsidR="00971959" w:rsidRDefault="009719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371A36" w14:textId="77777777" w:rsidR="009840A1" w:rsidRDefault="009840A1">
    <w:pPr>
      <w:widowControl w:val="0"/>
      <w:pBdr>
        <w:top w:val="nil"/>
        <w:left w:val="nil"/>
        <w:bottom w:val="nil"/>
        <w:right w:val="nil"/>
        <w:between w:val="nil"/>
      </w:pBdr>
      <w:spacing w:line="276" w:lineRule="auto"/>
      <w:rPr>
        <w:rFonts w:ascii="Arial" w:eastAsia="Arial" w:hAnsi="Arial" w:cs="Arial"/>
        <w:b/>
        <w:sz w:val="22"/>
        <w:szCs w:val="22"/>
      </w:rPr>
    </w:pPr>
  </w:p>
  <w:tbl>
    <w:tblPr>
      <w:tblStyle w:val="a3"/>
      <w:tblW w:w="9203" w:type="dxa"/>
      <w:tblInd w:w="0" w:type="dxa"/>
      <w:tblLayout w:type="fixed"/>
      <w:tblLook w:val="0000" w:firstRow="0" w:lastRow="0" w:firstColumn="0" w:lastColumn="0" w:noHBand="0" w:noVBand="0"/>
    </w:tblPr>
    <w:tblGrid>
      <w:gridCol w:w="2461"/>
      <w:gridCol w:w="4414"/>
      <w:gridCol w:w="2328"/>
    </w:tblGrid>
    <w:tr w:rsidR="009840A1" w14:paraId="76FFB7E3" w14:textId="77777777" w:rsidTr="00C57948">
      <w:trPr>
        <w:trHeight w:val="483"/>
      </w:trPr>
      <w:tc>
        <w:tcPr>
          <w:tcW w:w="2461" w:type="dxa"/>
          <w:vMerge w:val="restart"/>
          <w:tcBorders>
            <w:top w:val="single" w:sz="4" w:space="0" w:color="000000"/>
            <w:left w:val="single" w:sz="4" w:space="0" w:color="000000"/>
            <w:right w:val="single" w:sz="4" w:space="0" w:color="000000"/>
          </w:tcBorders>
          <w:vAlign w:val="center"/>
        </w:tcPr>
        <w:p w14:paraId="5CF53E71" w14:textId="77777777" w:rsidR="009840A1" w:rsidRPr="00C57948" w:rsidRDefault="009840A1">
          <w:pPr>
            <w:jc w:val="center"/>
            <w:rPr>
              <w:sz w:val="16"/>
              <w:szCs w:val="16"/>
              <w:highlight w:val="yellow"/>
            </w:rPr>
          </w:pPr>
        </w:p>
      </w:tc>
      <w:tc>
        <w:tcPr>
          <w:tcW w:w="4414" w:type="dxa"/>
          <w:tcBorders>
            <w:top w:val="single" w:sz="4" w:space="0" w:color="000000"/>
            <w:left w:val="nil"/>
            <w:bottom w:val="single" w:sz="4" w:space="0" w:color="000000"/>
            <w:right w:val="single" w:sz="4" w:space="0" w:color="000000"/>
          </w:tcBorders>
          <w:vAlign w:val="center"/>
        </w:tcPr>
        <w:p w14:paraId="47695110" w14:textId="77777777" w:rsidR="009840A1" w:rsidRPr="00B84200" w:rsidRDefault="009840A1">
          <w:pPr>
            <w:jc w:val="center"/>
            <w:rPr>
              <w:sz w:val="18"/>
              <w:szCs w:val="18"/>
            </w:rPr>
          </w:pPr>
          <w:r w:rsidRPr="00B84200">
            <w:rPr>
              <w:sz w:val="18"/>
              <w:szCs w:val="18"/>
            </w:rPr>
            <w:t>PROCESO GESTIÓN NORMATIVA</w:t>
          </w:r>
        </w:p>
      </w:tc>
      <w:tc>
        <w:tcPr>
          <w:tcW w:w="2328" w:type="dxa"/>
          <w:tcBorders>
            <w:top w:val="single" w:sz="4" w:space="0" w:color="000000"/>
            <w:left w:val="nil"/>
            <w:bottom w:val="single" w:sz="4" w:space="0" w:color="000000"/>
            <w:right w:val="single" w:sz="4" w:space="0" w:color="000000"/>
          </w:tcBorders>
          <w:vAlign w:val="center"/>
        </w:tcPr>
        <w:p w14:paraId="2E57BD23" w14:textId="77777777" w:rsidR="009840A1" w:rsidRPr="00B84200" w:rsidRDefault="009840A1">
          <w:pPr>
            <w:rPr>
              <w:sz w:val="16"/>
              <w:szCs w:val="16"/>
            </w:rPr>
          </w:pPr>
          <w:r w:rsidRPr="00B84200">
            <w:rPr>
              <w:sz w:val="16"/>
              <w:szCs w:val="16"/>
            </w:rPr>
            <w:t>CÓDIGO</w:t>
          </w:r>
          <w:r w:rsidRPr="00B84200">
            <w:rPr>
              <w:color w:val="3366FF"/>
              <w:sz w:val="16"/>
              <w:szCs w:val="16"/>
            </w:rPr>
            <w:t xml:space="preserve">: </w:t>
          </w:r>
          <w:r w:rsidRPr="00B84200">
            <w:rPr>
              <w:sz w:val="16"/>
              <w:szCs w:val="16"/>
            </w:rPr>
            <w:t>GNV-FO-001</w:t>
          </w:r>
        </w:p>
      </w:tc>
    </w:tr>
    <w:tr w:rsidR="009840A1" w14:paraId="0DFB58EC" w14:textId="77777777" w:rsidTr="00C57948">
      <w:trPr>
        <w:trHeight w:val="483"/>
      </w:trPr>
      <w:tc>
        <w:tcPr>
          <w:tcW w:w="2461" w:type="dxa"/>
          <w:vMerge/>
          <w:tcBorders>
            <w:top w:val="single" w:sz="4" w:space="0" w:color="000000"/>
            <w:left w:val="single" w:sz="4" w:space="0" w:color="000000"/>
            <w:right w:val="single" w:sz="4" w:space="0" w:color="000000"/>
          </w:tcBorders>
          <w:vAlign w:val="center"/>
        </w:tcPr>
        <w:p w14:paraId="4B3E66F1" w14:textId="77777777" w:rsidR="009840A1" w:rsidRPr="00C57948" w:rsidRDefault="009840A1">
          <w:pPr>
            <w:widowControl w:val="0"/>
            <w:pBdr>
              <w:top w:val="nil"/>
              <w:left w:val="nil"/>
              <w:bottom w:val="nil"/>
              <w:right w:val="nil"/>
              <w:between w:val="nil"/>
            </w:pBdr>
            <w:spacing w:line="276" w:lineRule="auto"/>
            <w:rPr>
              <w:sz w:val="16"/>
              <w:szCs w:val="16"/>
              <w:highlight w:val="yellow"/>
            </w:rPr>
          </w:pPr>
        </w:p>
      </w:tc>
      <w:tc>
        <w:tcPr>
          <w:tcW w:w="4414" w:type="dxa"/>
          <w:vMerge w:val="restart"/>
          <w:tcBorders>
            <w:top w:val="single" w:sz="4" w:space="0" w:color="000000"/>
            <w:left w:val="nil"/>
            <w:right w:val="single" w:sz="4" w:space="0" w:color="000000"/>
          </w:tcBorders>
          <w:vAlign w:val="center"/>
        </w:tcPr>
        <w:p w14:paraId="33FFFF8C" w14:textId="77777777" w:rsidR="009840A1" w:rsidRPr="00B84200" w:rsidRDefault="009840A1">
          <w:pPr>
            <w:jc w:val="center"/>
            <w:rPr>
              <w:sz w:val="20"/>
              <w:szCs w:val="20"/>
            </w:rPr>
          </w:pPr>
          <w:r w:rsidRPr="00B84200">
            <w:rPr>
              <w:sz w:val="20"/>
              <w:szCs w:val="20"/>
            </w:rPr>
            <w:t>PRESENTACIÓN PROYECTOS DE ACUERDO</w:t>
          </w:r>
        </w:p>
      </w:tc>
      <w:tc>
        <w:tcPr>
          <w:tcW w:w="2328" w:type="dxa"/>
          <w:tcBorders>
            <w:top w:val="single" w:sz="4" w:space="0" w:color="000000"/>
            <w:left w:val="nil"/>
            <w:bottom w:val="single" w:sz="4" w:space="0" w:color="000000"/>
            <w:right w:val="single" w:sz="4" w:space="0" w:color="000000"/>
          </w:tcBorders>
          <w:vAlign w:val="center"/>
        </w:tcPr>
        <w:p w14:paraId="7EFB6915" w14:textId="77777777" w:rsidR="009840A1" w:rsidRPr="00B84200" w:rsidRDefault="009840A1">
          <w:pPr>
            <w:rPr>
              <w:sz w:val="16"/>
              <w:szCs w:val="16"/>
            </w:rPr>
          </w:pPr>
          <w:r w:rsidRPr="00B84200">
            <w:rPr>
              <w:sz w:val="16"/>
              <w:szCs w:val="16"/>
            </w:rPr>
            <w:t>VERSIÓN:    02</w:t>
          </w:r>
        </w:p>
      </w:tc>
    </w:tr>
    <w:tr w:rsidR="009840A1" w14:paraId="442852E8" w14:textId="77777777" w:rsidTr="00C57948">
      <w:trPr>
        <w:trHeight w:val="483"/>
      </w:trPr>
      <w:tc>
        <w:tcPr>
          <w:tcW w:w="2461" w:type="dxa"/>
          <w:vMerge/>
          <w:tcBorders>
            <w:top w:val="single" w:sz="4" w:space="0" w:color="000000"/>
            <w:left w:val="single" w:sz="4" w:space="0" w:color="000000"/>
            <w:right w:val="single" w:sz="4" w:space="0" w:color="000000"/>
          </w:tcBorders>
          <w:vAlign w:val="center"/>
        </w:tcPr>
        <w:p w14:paraId="7E8F06CF" w14:textId="77777777" w:rsidR="009840A1" w:rsidRPr="00C57948" w:rsidRDefault="009840A1">
          <w:pPr>
            <w:widowControl w:val="0"/>
            <w:pBdr>
              <w:top w:val="nil"/>
              <w:left w:val="nil"/>
              <w:bottom w:val="nil"/>
              <w:right w:val="nil"/>
              <w:between w:val="nil"/>
            </w:pBdr>
            <w:spacing w:line="276" w:lineRule="auto"/>
            <w:rPr>
              <w:sz w:val="16"/>
              <w:szCs w:val="16"/>
              <w:highlight w:val="yellow"/>
            </w:rPr>
          </w:pPr>
        </w:p>
      </w:tc>
      <w:tc>
        <w:tcPr>
          <w:tcW w:w="4414" w:type="dxa"/>
          <w:vMerge/>
          <w:tcBorders>
            <w:top w:val="single" w:sz="4" w:space="0" w:color="000000"/>
            <w:left w:val="nil"/>
            <w:right w:val="single" w:sz="4" w:space="0" w:color="000000"/>
          </w:tcBorders>
          <w:vAlign w:val="center"/>
        </w:tcPr>
        <w:p w14:paraId="5005326D" w14:textId="77777777" w:rsidR="009840A1" w:rsidRPr="00B84200" w:rsidRDefault="009840A1">
          <w:pPr>
            <w:widowControl w:val="0"/>
            <w:pBdr>
              <w:top w:val="nil"/>
              <w:left w:val="nil"/>
              <w:bottom w:val="nil"/>
              <w:right w:val="nil"/>
              <w:between w:val="nil"/>
            </w:pBdr>
            <w:spacing w:line="276" w:lineRule="auto"/>
            <w:rPr>
              <w:sz w:val="16"/>
              <w:szCs w:val="16"/>
            </w:rPr>
          </w:pPr>
        </w:p>
      </w:tc>
      <w:tc>
        <w:tcPr>
          <w:tcW w:w="2328" w:type="dxa"/>
          <w:tcBorders>
            <w:top w:val="single" w:sz="4" w:space="0" w:color="000000"/>
            <w:left w:val="nil"/>
            <w:bottom w:val="single" w:sz="4" w:space="0" w:color="000000"/>
            <w:right w:val="single" w:sz="4" w:space="0" w:color="000000"/>
          </w:tcBorders>
          <w:vAlign w:val="center"/>
        </w:tcPr>
        <w:p w14:paraId="726C69EB" w14:textId="77777777" w:rsidR="009840A1" w:rsidRPr="00B84200" w:rsidRDefault="009840A1">
          <w:pPr>
            <w:rPr>
              <w:sz w:val="16"/>
              <w:szCs w:val="16"/>
            </w:rPr>
          </w:pPr>
          <w:r w:rsidRPr="00B84200">
            <w:rPr>
              <w:sz w:val="16"/>
              <w:szCs w:val="16"/>
            </w:rPr>
            <w:t>FECHA: 14-Nov-2019</w:t>
          </w:r>
        </w:p>
      </w:tc>
    </w:tr>
  </w:tbl>
  <w:p w14:paraId="5A0175E8" w14:textId="77777777" w:rsidR="009840A1" w:rsidRDefault="009840A1">
    <w:pPr>
      <w:pBdr>
        <w:top w:val="nil"/>
        <w:left w:val="nil"/>
        <w:bottom w:val="nil"/>
        <w:right w:val="nil"/>
        <w:between w:val="nil"/>
      </w:pBdr>
      <w:tabs>
        <w:tab w:val="center" w:pos="4252"/>
        <w:tab w:val="right" w:pos="8504"/>
      </w:tabs>
      <w:rPr>
        <w:rFonts w:ascii="Arial" w:eastAsia="Arial" w:hAnsi="Arial" w:cs="Arial"/>
        <w:color w:val="000000"/>
      </w:rPr>
    </w:pPr>
    <w:r>
      <w:rPr>
        <w:noProof/>
        <w:lang w:eastAsia="es-CO"/>
      </w:rPr>
      <w:drawing>
        <wp:anchor distT="0" distB="0" distL="0" distR="0" simplePos="0" relativeHeight="251657216" behindDoc="1" locked="0" layoutInCell="1" hidden="0" allowOverlap="1" wp14:anchorId="05EC50E5" wp14:editId="55E803E2">
          <wp:simplePos x="0" y="0"/>
          <wp:positionH relativeFrom="column">
            <wp:posOffset>441325</wp:posOffset>
          </wp:positionH>
          <wp:positionV relativeFrom="paragraph">
            <wp:posOffset>-890269</wp:posOffset>
          </wp:positionV>
          <wp:extent cx="752475" cy="885825"/>
          <wp:effectExtent l="0" t="0" r="0" b="0"/>
          <wp:wrapNone/>
          <wp:docPr id="18732980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CF4D7A"/>
    <w:multiLevelType w:val="hybridMultilevel"/>
    <w:tmpl w:val="80944BD6"/>
    <w:lvl w:ilvl="0" w:tplc="FFFFFFFF">
      <w:start w:val="3"/>
      <w:numFmt w:val="decimal"/>
      <w:lvlText w:val="%1."/>
      <w:lvlJc w:val="left"/>
      <w:pPr>
        <w:ind w:left="720" w:hanging="360"/>
      </w:pPr>
      <w:rPr>
        <w:rFonts w:cs="Arial" w:hint="default"/>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14AF2B4D"/>
    <w:multiLevelType w:val="multilevel"/>
    <w:tmpl w:val="E3666EEC"/>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 w15:restartNumberingAfterBreak="0">
    <w:nsid w:val="173F0E3E"/>
    <w:multiLevelType w:val="hybridMultilevel"/>
    <w:tmpl w:val="47340A0C"/>
    <w:lvl w:ilvl="0" w:tplc="FFFFFFFF">
      <w:start w:val="4"/>
      <w:numFmt w:val="decimal"/>
      <w:lvlText w:val="%1."/>
      <w:lvlJc w:val="left"/>
      <w:pPr>
        <w:ind w:left="720" w:hanging="360"/>
      </w:pPr>
      <w:rPr>
        <w:rFonts w:ascii="Times New Roman" w:hAnsi="Times New Roman"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79C410E"/>
    <w:multiLevelType w:val="hybridMultilevel"/>
    <w:tmpl w:val="9C92FEF4"/>
    <w:lvl w:ilvl="0" w:tplc="FFFFFFF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2EB338C0"/>
    <w:multiLevelType w:val="hybridMultilevel"/>
    <w:tmpl w:val="6242D9D6"/>
    <w:lvl w:ilvl="0" w:tplc="FFFFFFF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31F5348E"/>
    <w:multiLevelType w:val="hybridMultilevel"/>
    <w:tmpl w:val="612E7678"/>
    <w:lvl w:ilvl="0" w:tplc="FFFFFFFF">
      <w:start w:val="18"/>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42D10158"/>
    <w:multiLevelType w:val="hybridMultilevel"/>
    <w:tmpl w:val="E3328732"/>
    <w:lvl w:ilvl="0" w:tplc="FFFFFFFF">
      <w:start w:val="13"/>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50157EF6"/>
    <w:multiLevelType w:val="multilevel"/>
    <w:tmpl w:val="5C6CF91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567B735B"/>
    <w:multiLevelType w:val="multilevel"/>
    <w:tmpl w:val="963E56B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15:restartNumberingAfterBreak="0">
    <w:nsid w:val="59542A63"/>
    <w:multiLevelType w:val="hybridMultilevel"/>
    <w:tmpl w:val="F3582922"/>
    <w:lvl w:ilvl="0" w:tplc="5394C674">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64BE254B"/>
    <w:multiLevelType w:val="hybridMultilevel"/>
    <w:tmpl w:val="29CCED06"/>
    <w:lvl w:ilvl="0" w:tplc="FFFFFFFF">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715F2A71"/>
    <w:multiLevelType w:val="hybridMultilevel"/>
    <w:tmpl w:val="5C48A0EC"/>
    <w:lvl w:ilvl="0" w:tplc="9DFE8EB0">
      <w:start w:val="25"/>
      <w:numFmt w:val="bullet"/>
      <w:lvlText w:val="-"/>
      <w:lvlJc w:val="left"/>
      <w:pPr>
        <w:ind w:left="720" w:hanging="360"/>
      </w:pPr>
      <w:rPr>
        <w:rFonts w:ascii="Arial" w:eastAsia="Arial"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741776E8"/>
    <w:multiLevelType w:val="hybridMultilevel"/>
    <w:tmpl w:val="CF12A446"/>
    <w:lvl w:ilvl="0" w:tplc="B0BCAE8C">
      <w:start w:val="3"/>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74CB626A"/>
    <w:multiLevelType w:val="multilevel"/>
    <w:tmpl w:val="A42CD5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87F7D00"/>
    <w:multiLevelType w:val="hybridMultilevel"/>
    <w:tmpl w:val="A3522D08"/>
    <w:lvl w:ilvl="0" w:tplc="45F08304">
      <w:start w:val="4"/>
      <w:numFmt w:val="bullet"/>
      <w:lvlText w:val="-"/>
      <w:lvlJc w:val="left"/>
      <w:pPr>
        <w:ind w:left="720" w:hanging="360"/>
      </w:pPr>
      <w:rPr>
        <w:rFonts w:ascii="Arial" w:eastAsia="Arial"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1"/>
  </w:num>
  <w:num w:numId="2">
    <w:abstractNumId w:val="8"/>
  </w:num>
  <w:num w:numId="3">
    <w:abstractNumId w:val="13"/>
  </w:num>
  <w:num w:numId="4">
    <w:abstractNumId w:val="12"/>
  </w:num>
  <w:num w:numId="5">
    <w:abstractNumId w:val="10"/>
  </w:num>
  <w:num w:numId="6">
    <w:abstractNumId w:val="3"/>
  </w:num>
  <w:num w:numId="7">
    <w:abstractNumId w:val="4"/>
  </w:num>
  <w:num w:numId="8">
    <w:abstractNumId w:val="2"/>
  </w:num>
  <w:num w:numId="9">
    <w:abstractNumId w:val="6"/>
  </w:num>
  <w:num w:numId="10">
    <w:abstractNumId w:val="5"/>
  </w:num>
  <w:num w:numId="11">
    <w:abstractNumId w:val="0"/>
  </w:num>
  <w:num w:numId="12">
    <w:abstractNumId w:val="7"/>
  </w:num>
  <w:num w:numId="13">
    <w:abstractNumId w:val="9"/>
  </w:num>
  <w:num w:numId="14">
    <w:abstractNumId w:val="11"/>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4D0F"/>
    <w:rsid w:val="00000664"/>
    <w:rsid w:val="00002466"/>
    <w:rsid w:val="00010C4C"/>
    <w:rsid w:val="00015959"/>
    <w:rsid w:val="000164F7"/>
    <w:rsid w:val="00016C9B"/>
    <w:rsid w:val="0002055D"/>
    <w:rsid w:val="0002130C"/>
    <w:rsid w:val="00022740"/>
    <w:rsid w:val="000234D6"/>
    <w:rsid w:val="000257E3"/>
    <w:rsid w:val="00026F12"/>
    <w:rsid w:val="000320E5"/>
    <w:rsid w:val="00046AA8"/>
    <w:rsid w:val="00050499"/>
    <w:rsid w:val="00070F86"/>
    <w:rsid w:val="000744F1"/>
    <w:rsid w:val="00075BAB"/>
    <w:rsid w:val="0007639A"/>
    <w:rsid w:val="00077187"/>
    <w:rsid w:val="0008015F"/>
    <w:rsid w:val="00082814"/>
    <w:rsid w:val="00092E42"/>
    <w:rsid w:val="00093804"/>
    <w:rsid w:val="00094442"/>
    <w:rsid w:val="0009480C"/>
    <w:rsid w:val="000A78AC"/>
    <w:rsid w:val="000B01FE"/>
    <w:rsid w:val="000B0566"/>
    <w:rsid w:val="000B329B"/>
    <w:rsid w:val="000B4818"/>
    <w:rsid w:val="000B4DE9"/>
    <w:rsid w:val="000C6A09"/>
    <w:rsid w:val="000D2C14"/>
    <w:rsid w:val="000D45BC"/>
    <w:rsid w:val="000D56FB"/>
    <w:rsid w:val="000D7897"/>
    <w:rsid w:val="000E6945"/>
    <w:rsid w:val="000F6488"/>
    <w:rsid w:val="00100457"/>
    <w:rsid w:val="00100C4F"/>
    <w:rsid w:val="00103D1C"/>
    <w:rsid w:val="001041E4"/>
    <w:rsid w:val="00111646"/>
    <w:rsid w:val="00113577"/>
    <w:rsid w:val="00114CF3"/>
    <w:rsid w:val="00116748"/>
    <w:rsid w:val="00117F79"/>
    <w:rsid w:val="00122390"/>
    <w:rsid w:val="00124061"/>
    <w:rsid w:val="00126DC3"/>
    <w:rsid w:val="0013233C"/>
    <w:rsid w:val="00134AED"/>
    <w:rsid w:val="00140512"/>
    <w:rsid w:val="00143055"/>
    <w:rsid w:val="001454FA"/>
    <w:rsid w:val="00145A5F"/>
    <w:rsid w:val="00146628"/>
    <w:rsid w:val="001477FF"/>
    <w:rsid w:val="00156BD5"/>
    <w:rsid w:val="0016402D"/>
    <w:rsid w:val="00170510"/>
    <w:rsid w:val="00171802"/>
    <w:rsid w:val="00171F1E"/>
    <w:rsid w:val="001803A6"/>
    <w:rsid w:val="00181080"/>
    <w:rsid w:val="00184FD5"/>
    <w:rsid w:val="00192C82"/>
    <w:rsid w:val="00194882"/>
    <w:rsid w:val="001969EE"/>
    <w:rsid w:val="001A0FCF"/>
    <w:rsid w:val="001A480B"/>
    <w:rsid w:val="001B5C3F"/>
    <w:rsid w:val="001B7F45"/>
    <w:rsid w:val="001C4475"/>
    <w:rsid w:val="001F20FC"/>
    <w:rsid w:val="0020751B"/>
    <w:rsid w:val="00210C72"/>
    <w:rsid w:val="00214E08"/>
    <w:rsid w:val="00221A96"/>
    <w:rsid w:val="0023378D"/>
    <w:rsid w:val="00237DB7"/>
    <w:rsid w:val="00240D6E"/>
    <w:rsid w:val="002567DA"/>
    <w:rsid w:val="00260E73"/>
    <w:rsid w:val="00270CA7"/>
    <w:rsid w:val="00272859"/>
    <w:rsid w:val="00275CF8"/>
    <w:rsid w:val="00285780"/>
    <w:rsid w:val="00287EA8"/>
    <w:rsid w:val="002947C6"/>
    <w:rsid w:val="0029548F"/>
    <w:rsid w:val="002978BC"/>
    <w:rsid w:val="002A098C"/>
    <w:rsid w:val="002B0832"/>
    <w:rsid w:val="002B1FFC"/>
    <w:rsid w:val="002B2155"/>
    <w:rsid w:val="002B48BF"/>
    <w:rsid w:val="002C566A"/>
    <w:rsid w:val="002D275D"/>
    <w:rsid w:val="002D3B2F"/>
    <w:rsid w:val="002D5B37"/>
    <w:rsid w:val="002E6018"/>
    <w:rsid w:val="002E6AE1"/>
    <w:rsid w:val="002F0AA5"/>
    <w:rsid w:val="002F333D"/>
    <w:rsid w:val="00307A50"/>
    <w:rsid w:val="00313A0C"/>
    <w:rsid w:val="00322DCE"/>
    <w:rsid w:val="00323D73"/>
    <w:rsid w:val="00342242"/>
    <w:rsid w:val="003424FE"/>
    <w:rsid w:val="003431F2"/>
    <w:rsid w:val="0036439F"/>
    <w:rsid w:val="00374D3F"/>
    <w:rsid w:val="00377C59"/>
    <w:rsid w:val="00380362"/>
    <w:rsid w:val="00380D9F"/>
    <w:rsid w:val="00382773"/>
    <w:rsid w:val="00392C6F"/>
    <w:rsid w:val="00395FD6"/>
    <w:rsid w:val="003A28A4"/>
    <w:rsid w:val="003A5ABD"/>
    <w:rsid w:val="003B3426"/>
    <w:rsid w:val="003B59F1"/>
    <w:rsid w:val="003B7A06"/>
    <w:rsid w:val="003C1F0F"/>
    <w:rsid w:val="003D24DB"/>
    <w:rsid w:val="003E7952"/>
    <w:rsid w:val="003F3177"/>
    <w:rsid w:val="003F4EB6"/>
    <w:rsid w:val="00403727"/>
    <w:rsid w:val="00412B95"/>
    <w:rsid w:val="00412CC9"/>
    <w:rsid w:val="00415036"/>
    <w:rsid w:val="004152F5"/>
    <w:rsid w:val="0041565D"/>
    <w:rsid w:val="00415991"/>
    <w:rsid w:val="00415C39"/>
    <w:rsid w:val="00422AA4"/>
    <w:rsid w:val="00424DC4"/>
    <w:rsid w:val="00430339"/>
    <w:rsid w:val="004309BC"/>
    <w:rsid w:val="00431BBC"/>
    <w:rsid w:val="004354F5"/>
    <w:rsid w:val="00440778"/>
    <w:rsid w:val="00441E03"/>
    <w:rsid w:val="004420D6"/>
    <w:rsid w:val="0044379E"/>
    <w:rsid w:val="0044612A"/>
    <w:rsid w:val="00451636"/>
    <w:rsid w:val="00452820"/>
    <w:rsid w:val="0045786C"/>
    <w:rsid w:val="00464D0F"/>
    <w:rsid w:val="00465834"/>
    <w:rsid w:val="00466C30"/>
    <w:rsid w:val="004709F1"/>
    <w:rsid w:val="004712A1"/>
    <w:rsid w:val="00483DCA"/>
    <w:rsid w:val="00483E88"/>
    <w:rsid w:val="00490E11"/>
    <w:rsid w:val="00494290"/>
    <w:rsid w:val="004A6E43"/>
    <w:rsid w:val="004B000E"/>
    <w:rsid w:val="004B13C4"/>
    <w:rsid w:val="004B4EA9"/>
    <w:rsid w:val="004B6DA7"/>
    <w:rsid w:val="004B6F4B"/>
    <w:rsid w:val="004C1517"/>
    <w:rsid w:val="004C27D7"/>
    <w:rsid w:val="004C3DEC"/>
    <w:rsid w:val="004F0C21"/>
    <w:rsid w:val="004F5E1C"/>
    <w:rsid w:val="004F5FBF"/>
    <w:rsid w:val="00500C2B"/>
    <w:rsid w:val="005017E1"/>
    <w:rsid w:val="00520DDA"/>
    <w:rsid w:val="00526341"/>
    <w:rsid w:val="005304C1"/>
    <w:rsid w:val="00531C35"/>
    <w:rsid w:val="00532E98"/>
    <w:rsid w:val="00544FE4"/>
    <w:rsid w:val="00550D2A"/>
    <w:rsid w:val="00553508"/>
    <w:rsid w:val="0055369F"/>
    <w:rsid w:val="005555C3"/>
    <w:rsid w:val="00561AA0"/>
    <w:rsid w:val="00563599"/>
    <w:rsid w:val="0056501D"/>
    <w:rsid w:val="00570463"/>
    <w:rsid w:val="00575289"/>
    <w:rsid w:val="00576C78"/>
    <w:rsid w:val="005927FB"/>
    <w:rsid w:val="00592A73"/>
    <w:rsid w:val="00596D54"/>
    <w:rsid w:val="00597D18"/>
    <w:rsid w:val="005A3DE7"/>
    <w:rsid w:val="005A4D0A"/>
    <w:rsid w:val="005B0C0E"/>
    <w:rsid w:val="005C2C71"/>
    <w:rsid w:val="005C6DF4"/>
    <w:rsid w:val="005C703A"/>
    <w:rsid w:val="005C772E"/>
    <w:rsid w:val="005E1872"/>
    <w:rsid w:val="005E753D"/>
    <w:rsid w:val="0060343C"/>
    <w:rsid w:val="00614C26"/>
    <w:rsid w:val="00625B1F"/>
    <w:rsid w:val="006265AD"/>
    <w:rsid w:val="0062780B"/>
    <w:rsid w:val="0063702A"/>
    <w:rsid w:val="00643910"/>
    <w:rsid w:val="006442AF"/>
    <w:rsid w:val="006464CB"/>
    <w:rsid w:val="00656ADA"/>
    <w:rsid w:val="006574BA"/>
    <w:rsid w:val="00662BBF"/>
    <w:rsid w:val="0066370C"/>
    <w:rsid w:val="00666674"/>
    <w:rsid w:val="006669E7"/>
    <w:rsid w:val="006715BB"/>
    <w:rsid w:val="00677B59"/>
    <w:rsid w:val="00685659"/>
    <w:rsid w:val="00686D65"/>
    <w:rsid w:val="00686E8C"/>
    <w:rsid w:val="00686F3F"/>
    <w:rsid w:val="00687225"/>
    <w:rsid w:val="00693812"/>
    <w:rsid w:val="006979B8"/>
    <w:rsid w:val="006A0616"/>
    <w:rsid w:val="006A7E46"/>
    <w:rsid w:val="006B3E98"/>
    <w:rsid w:val="006B5508"/>
    <w:rsid w:val="006B5C88"/>
    <w:rsid w:val="006C4A9A"/>
    <w:rsid w:val="006C7863"/>
    <w:rsid w:val="006C7E69"/>
    <w:rsid w:val="006D05CF"/>
    <w:rsid w:val="006D1522"/>
    <w:rsid w:val="006D2A4A"/>
    <w:rsid w:val="006E5614"/>
    <w:rsid w:val="006F5AE0"/>
    <w:rsid w:val="006F5F31"/>
    <w:rsid w:val="006F705A"/>
    <w:rsid w:val="00701ADD"/>
    <w:rsid w:val="00704E12"/>
    <w:rsid w:val="007246C8"/>
    <w:rsid w:val="007302A2"/>
    <w:rsid w:val="00730C47"/>
    <w:rsid w:val="00732AC5"/>
    <w:rsid w:val="00734696"/>
    <w:rsid w:val="00735B74"/>
    <w:rsid w:val="00737102"/>
    <w:rsid w:val="00737D40"/>
    <w:rsid w:val="00740515"/>
    <w:rsid w:val="007424E9"/>
    <w:rsid w:val="00744643"/>
    <w:rsid w:val="007512D8"/>
    <w:rsid w:val="0075345B"/>
    <w:rsid w:val="00753F0F"/>
    <w:rsid w:val="00754D72"/>
    <w:rsid w:val="00762451"/>
    <w:rsid w:val="00763BD1"/>
    <w:rsid w:val="0076687A"/>
    <w:rsid w:val="00771BDC"/>
    <w:rsid w:val="00776377"/>
    <w:rsid w:val="00780266"/>
    <w:rsid w:val="00782F1B"/>
    <w:rsid w:val="007905EC"/>
    <w:rsid w:val="00797070"/>
    <w:rsid w:val="007A008D"/>
    <w:rsid w:val="007A2CD8"/>
    <w:rsid w:val="007A5616"/>
    <w:rsid w:val="007A6406"/>
    <w:rsid w:val="007B2149"/>
    <w:rsid w:val="007B3466"/>
    <w:rsid w:val="007B3FD5"/>
    <w:rsid w:val="007B47E1"/>
    <w:rsid w:val="007B712E"/>
    <w:rsid w:val="007B7BFC"/>
    <w:rsid w:val="007C2044"/>
    <w:rsid w:val="007C42F0"/>
    <w:rsid w:val="007D07FF"/>
    <w:rsid w:val="007D5DAA"/>
    <w:rsid w:val="007E6AB9"/>
    <w:rsid w:val="008007E3"/>
    <w:rsid w:val="00803A3B"/>
    <w:rsid w:val="00806664"/>
    <w:rsid w:val="00807593"/>
    <w:rsid w:val="00810024"/>
    <w:rsid w:val="00811792"/>
    <w:rsid w:val="00811871"/>
    <w:rsid w:val="00811B0C"/>
    <w:rsid w:val="0081460C"/>
    <w:rsid w:val="008217D6"/>
    <w:rsid w:val="00821FF7"/>
    <w:rsid w:val="008320E7"/>
    <w:rsid w:val="0083441D"/>
    <w:rsid w:val="00836447"/>
    <w:rsid w:val="008502BE"/>
    <w:rsid w:val="008548DA"/>
    <w:rsid w:val="00860DA1"/>
    <w:rsid w:val="0086157F"/>
    <w:rsid w:val="0086629F"/>
    <w:rsid w:val="00871349"/>
    <w:rsid w:val="00881097"/>
    <w:rsid w:val="008909A4"/>
    <w:rsid w:val="00893212"/>
    <w:rsid w:val="008949F5"/>
    <w:rsid w:val="008A0263"/>
    <w:rsid w:val="008A2669"/>
    <w:rsid w:val="008A3300"/>
    <w:rsid w:val="008A35F5"/>
    <w:rsid w:val="008A7267"/>
    <w:rsid w:val="008A7D5A"/>
    <w:rsid w:val="008B1F83"/>
    <w:rsid w:val="008B7C58"/>
    <w:rsid w:val="008C0B08"/>
    <w:rsid w:val="008C392B"/>
    <w:rsid w:val="008C39A6"/>
    <w:rsid w:val="008C4ABB"/>
    <w:rsid w:val="008C730A"/>
    <w:rsid w:val="008D730D"/>
    <w:rsid w:val="008E00BC"/>
    <w:rsid w:val="008E1213"/>
    <w:rsid w:val="008E20C0"/>
    <w:rsid w:val="008E64DF"/>
    <w:rsid w:val="008F3EFE"/>
    <w:rsid w:val="009140D0"/>
    <w:rsid w:val="0091480F"/>
    <w:rsid w:val="00920C96"/>
    <w:rsid w:val="00927C7A"/>
    <w:rsid w:val="00933850"/>
    <w:rsid w:val="00935F56"/>
    <w:rsid w:val="00940321"/>
    <w:rsid w:val="009405A0"/>
    <w:rsid w:val="00950462"/>
    <w:rsid w:val="00957F90"/>
    <w:rsid w:val="009605BC"/>
    <w:rsid w:val="009629EB"/>
    <w:rsid w:val="009635AD"/>
    <w:rsid w:val="009640A5"/>
    <w:rsid w:val="00967C7C"/>
    <w:rsid w:val="009714F6"/>
    <w:rsid w:val="00971959"/>
    <w:rsid w:val="009775FC"/>
    <w:rsid w:val="009840A1"/>
    <w:rsid w:val="00987DFD"/>
    <w:rsid w:val="00993AF9"/>
    <w:rsid w:val="009A4442"/>
    <w:rsid w:val="009B1D3A"/>
    <w:rsid w:val="009B779C"/>
    <w:rsid w:val="009C083D"/>
    <w:rsid w:val="009C0D12"/>
    <w:rsid w:val="009D19A8"/>
    <w:rsid w:val="009D393D"/>
    <w:rsid w:val="009E5EDC"/>
    <w:rsid w:val="009E6226"/>
    <w:rsid w:val="009F14A7"/>
    <w:rsid w:val="009F3E68"/>
    <w:rsid w:val="009F5CFA"/>
    <w:rsid w:val="009F7147"/>
    <w:rsid w:val="00A0116A"/>
    <w:rsid w:val="00A042CD"/>
    <w:rsid w:val="00A11EB6"/>
    <w:rsid w:val="00A20449"/>
    <w:rsid w:val="00A33E25"/>
    <w:rsid w:val="00A529E5"/>
    <w:rsid w:val="00A52BC0"/>
    <w:rsid w:val="00A555F3"/>
    <w:rsid w:val="00A6059F"/>
    <w:rsid w:val="00A70E1B"/>
    <w:rsid w:val="00A715E7"/>
    <w:rsid w:val="00A874D0"/>
    <w:rsid w:val="00A91527"/>
    <w:rsid w:val="00A9455E"/>
    <w:rsid w:val="00A97CB5"/>
    <w:rsid w:val="00AA6C0E"/>
    <w:rsid w:val="00AB0F32"/>
    <w:rsid w:val="00AB1119"/>
    <w:rsid w:val="00AC078A"/>
    <w:rsid w:val="00AC6C8F"/>
    <w:rsid w:val="00AD2744"/>
    <w:rsid w:val="00AD31EC"/>
    <w:rsid w:val="00AD474F"/>
    <w:rsid w:val="00AD5192"/>
    <w:rsid w:val="00AD6067"/>
    <w:rsid w:val="00AD6150"/>
    <w:rsid w:val="00AD7304"/>
    <w:rsid w:val="00AD7CBD"/>
    <w:rsid w:val="00AE0B4F"/>
    <w:rsid w:val="00AE1064"/>
    <w:rsid w:val="00AE67A2"/>
    <w:rsid w:val="00AE6E1B"/>
    <w:rsid w:val="00AF3980"/>
    <w:rsid w:val="00AF53DF"/>
    <w:rsid w:val="00AF59FD"/>
    <w:rsid w:val="00AF7E28"/>
    <w:rsid w:val="00B072FF"/>
    <w:rsid w:val="00B10502"/>
    <w:rsid w:val="00B11DD1"/>
    <w:rsid w:val="00B16B39"/>
    <w:rsid w:val="00B16C89"/>
    <w:rsid w:val="00B24B7E"/>
    <w:rsid w:val="00B26CF3"/>
    <w:rsid w:val="00B26E3A"/>
    <w:rsid w:val="00B31C49"/>
    <w:rsid w:val="00B33C25"/>
    <w:rsid w:val="00B375C1"/>
    <w:rsid w:val="00B53BC4"/>
    <w:rsid w:val="00B54823"/>
    <w:rsid w:val="00B569B1"/>
    <w:rsid w:val="00B6032D"/>
    <w:rsid w:val="00B6049A"/>
    <w:rsid w:val="00B70664"/>
    <w:rsid w:val="00B83BAB"/>
    <w:rsid w:val="00B84200"/>
    <w:rsid w:val="00B84B0B"/>
    <w:rsid w:val="00B92444"/>
    <w:rsid w:val="00B967B1"/>
    <w:rsid w:val="00B96B7E"/>
    <w:rsid w:val="00BA5793"/>
    <w:rsid w:val="00BB0343"/>
    <w:rsid w:val="00BB0521"/>
    <w:rsid w:val="00BB1AB3"/>
    <w:rsid w:val="00BB3CE6"/>
    <w:rsid w:val="00BB78BB"/>
    <w:rsid w:val="00BB78C7"/>
    <w:rsid w:val="00BC193D"/>
    <w:rsid w:val="00BC413C"/>
    <w:rsid w:val="00BC59B8"/>
    <w:rsid w:val="00BC5FBC"/>
    <w:rsid w:val="00BE0B69"/>
    <w:rsid w:val="00BE213C"/>
    <w:rsid w:val="00BE51FE"/>
    <w:rsid w:val="00BF13AD"/>
    <w:rsid w:val="00C015B8"/>
    <w:rsid w:val="00C05355"/>
    <w:rsid w:val="00C1370F"/>
    <w:rsid w:val="00C13E50"/>
    <w:rsid w:val="00C17D80"/>
    <w:rsid w:val="00C26A67"/>
    <w:rsid w:val="00C2781B"/>
    <w:rsid w:val="00C4175E"/>
    <w:rsid w:val="00C419B0"/>
    <w:rsid w:val="00C43B4B"/>
    <w:rsid w:val="00C52FF9"/>
    <w:rsid w:val="00C5528B"/>
    <w:rsid w:val="00C57948"/>
    <w:rsid w:val="00C60DCA"/>
    <w:rsid w:val="00C651F5"/>
    <w:rsid w:val="00C67AFB"/>
    <w:rsid w:val="00C737AF"/>
    <w:rsid w:val="00C811E0"/>
    <w:rsid w:val="00C9387C"/>
    <w:rsid w:val="00C94C78"/>
    <w:rsid w:val="00CA149F"/>
    <w:rsid w:val="00CA34F6"/>
    <w:rsid w:val="00CA6328"/>
    <w:rsid w:val="00CA6D9F"/>
    <w:rsid w:val="00CB03EF"/>
    <w:rsid w:val="00CB14CB"/>
    <w:rsid w:val="00CC265E"/>
    <w:rsid w:val="00CC65C5"/>
    <w:rsid w:val="00CC7B0F"/>
    <w:rsid w:val="00CD36D4"/>
    <w:rsid w:val="00CD6156"/>
    <w:rsid w:val="00CE4FB2"/>
    <w:rsid w:val="00CF2CDE"/>
    <w:rsid w:val="00CF3016"/>
    <w:rsid w:val="00CF47C3"/>
    <w:rsid w:val="00CF755C"/>
    <w:rsid w:val="00D0035C"/>
    <w:rsid w:val="00D05E72"/>
    <w:rsid w:val="00D06C8A"/>
    <w:rsid w:val="00D06FA9"/>
    <w:rsid w:val="00D112D1"/>
    <w:rsid w:val="00D1323E"/>
    <w:rsid w:val="00D22018"/>
    <w:rsid w:val="00D26666"/>
    <w:rsid w:val="00D2681B"/>
    <w:rsid w:val="00D31ECE"/>
    <w:rsid w:val="00D35B4C"/>
    <w:rsid w:val="00D37585"/>
    <w:rsid w:val="00D55D0D"/>
    <w:rsid w:val="00D60127"/>
    <w:rsid w:val="00D62126"/>
    <w:rsid w:val="00D6711D"/>
    <w:rsid w:val="00D67B39"/>
    <w:rsid w:val="00D703B3"/>
    <w:rsid w:val="00D70AE8"/>
    <w:rsid w:val="00D746FA"/>
    <w:rsid w:val="00D75AA6"/>
    <w:rsid w:val="00D8329E"/>
    <w:rsid w:val="00D92DB5"/>
    <w:rsid w:val="00D95DCA"/>
    <w:rsid w:val="00D9699B"/>
    <w:rsid w:val="00DA4A47"/>
    <w:rsid w:val="00DA6ECB"/>
    <w:rsid w:val="00DB3E20"/>
    <w:rsid w:val="00DB6AF8"/>
    <w:rsid w:val="00DB70F8"/>
    <w:rsid w:val="00DE231A"/>
    <w:rsid w:val="00DE3EEE"/>
    <w:rsid w:val="00E02251"/>
    <w:rsid w:val="00E163E8"/>
    <w:rsid w:val="00E16A83"/>
    <w:rsid w:val="00E16E9D"/>
    <w:rsid w:val="00E201BE"/>
    <w:rsid w:val="00E248AA"/>
    <w:rsid w:val="00E27691"/>
    <w:rsid w:val="00E310B0"/>
    <w:rsid w:val="00E330A2"/>
    <w:rsid w:val="00E33D6A"/>
    <w:rsid w:val="00E42ABF"/>
    <w:rsid w:val="00E4304D"/>
    <w:rsid w:val="00E5015F"/>
    <w:rsid w:val="00E55C7F"/>
    <w:rsid w:val="00E57B70"/>
    <w:rsid w:val="00E6585F"/>
    <w:rsid w:val="00E67A60"/>
    <w:rsid w:val="00E7789C"/>
    <w:rsid w:val="00E83BA8"/>
    <w:rsid w:val="00E842A1"/>
    <w:rsid w:val="00E91062"/>
    <w:rsid w:val="00E92D79"/>
    <w:rsid w:val="00E93106"/>
    <w:rsid w:val="00E94D06"/>
    <w:rsid w:val="00EA51ED"/>
    <w:rsid w:val="00EB44BF"/>
    <w:rsid w:val="00EB79B1"/>
    <w:rsid w:val="00EC68AE"/>
    <w:rsid w:val="00EE41C9"/>
    <w:rsid w:val="00EE7506"/>
    <w:rsid w:val="00F01CA7"/>
    <w:rsid w:val="00F03C6E"/>
    <w:rsid w:val="00F04F85"/>
    <w:rsid w:val="00F06E89"/>
    <w:rsid w:val="00F0771F"/>
    <w:rsid w:val="00F1490D"/>
    <w:rsid w:val="00F17C79"/>
    <w:rsid w:val="00F20880"/>
    <w:rsid w:val="00F25DD4"/>
    <w:rsid w:val="00F30BF6"/>
    <w:rsid w:val="00F317DE"/>
    <w:rsid w:val="00F32BC6"/>
    <w:rsid w:val="00F3611D"/>
    <w:rsid w:val="00F37AC7"/>
    <w:rsid w:val="00F42BDF"/>
    <w:rsid w:val="00F514ED"/>
    <w:rsid w:val="00F6351A"/>
    <w:rsid w:val="00F67863"/>
    <w:rsid w:val="00F67DB6"/>
    <w:rsid w:val="00F702DC"/>
    <w:rsid w:val="00F72EE2"/>
    <w:rsid w:val="00F73121"/>
    <w:rsid w:val="00F73BF5"/>
    <w:rsid w:val="00F73E69"/>
    <w:rsid w:val="00F7452F"/>
    <w:rsid w:val="00F826F1"/>
    <w:rsid w:val="00F85E22"/>
    <w:rsid w:val="00F87D68"/>
    <w:rsid w:val="00F91B49"/>
    <w:rsid w:val="00F966D4"/>
    <w:rsid w:val="00F97DA8"/>
    <w:rsid w:val="00FA5117"/>
    <w:rsid w:val="00FA7B68"/>
    <w:rsid w:val="00FB6838"/>
    <w:rsid w:val="00FC290F"/>
    <w:rsid w:val="00FD292A"/>
    <w:rsid w:val="00FD5D5D"/>
    <w:rsid w:val="00FE4F2A"/>
    <w:rsid w:val="00FF5CC7"/>
    <w:rsid w:val="00FF6E43"/>
  </w:rsids>
  <m:mathPr>
    <m:mathFont m:val="Cambria Math"/>
    <m:brkBin m:val="before"/>
    <m:brkBinSub m:val="--"/>
    <m:smallFrac m:val="0"/>
    <m:dispDef/>
    <m:lMargin m:val="0"/>
    <m:rMargin m:val="0"/>
    <m:defJc m:val="centerGroup"/>
    <m:wrapIndent m:val="1440"/>
    <m:intLim m:val="subSup"/>
    <m:naryLim m:val="undOvr"/>
  </m:mathPr>
  <w:themeFontLang w:val="es-CO" w:bidi="km-KH"/>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5475EA0"/>
  <w15:docId w15:val="{7DDC891F-8293-4917-A070-9361F6CEF2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s-CO"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01B06"/>
    <w:rPr>
      <w:lang w:eastAsia="es-ES_tradnl"/>
    </w:rPr>
  </w:style>
  <w:style w:type="paragraph" w:styleId="Ttulo1">
    <w:name w:val="heading 1"/>
    <w:basedOn w:val="Normal"/>
    <w:next w:val="Normal"/>
    <w:link w:val="Ttulo1Car"/>
    <w:uiPriority w:val="99"/>
    <w:qFormat/>
    <w:rsid w:val="00AE7E3B"/>
    <w:pPr>
      <w:keepNext/>
      <w:jc w:val="center"/>
      <w:outlineLvl w:val="0"/>
    </w:pPr>
    <w:rPr>
      <w:szCs w:val="20"/>
      <w:lang w:val="es-MX" w:eastAsia="es-ES"/>
    </w:rPr>
  </w:style>
  <w:style w:type="paragraph" w:styleId="Ttulo2">
    <w:name w:val="heading 2"/>
    <w:basedOn w:val="Normal"/>
    <w:next w:val="Normal"/>
    <w:link w:val="Ttulo2Car"/>
    <w:uiPriority w:val="99"/>
    <w:qFormat/>
    <w:rsid w:val="00AE7E3B"/>
    <w:pPr>
      <w:keepNext/>
      <w:outlineLvl w:val="1"/>
    </w:pPr>
    <w:rPr>
      <w:szCs w:val="20"/>
      <w:lang w:val="es-MX" w:eastAsia="es-ES"/>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link w:val="Ttulo4Car"/>
    <w:uiPriority w:val="99"/>
    <w:qFormat/>
    <w:rsid w:val="00BD4F10"/>
    <w:pPr>
      <w:keepNext/>
      <w:spacing w:before="240" w:after="60"/>
      <w:outlineLvl w:val="3"/>
    </w:pPr>
    <w:rPr>
      <w:b/>
      <w:bCs/>
      <w:sz w:val="28"/>
      <w:szCs w:val="28"/>
      <w:lang w:val="es-ES" w:eastAsia="es-ES"/>
    </w:rPr>
  </w:style>
  <w:style w:type="paragraph" w:styleId="Ttulo5">
    <w:name w:val="heading 5"/>
    <w:basedOn w:val="Normal"/>
    <w:next w:val="Normal"/>
    <w:link w:val="Ttulo5Car"/>
    <w:uiPriority w:val="99"/>
    <w:qFormat/>
    <w:rsid w:val="00776D41"/>
    <w:pPr>
      <w:keepNext/>
      <w:keepLines/>
      <w:spacing w:before="200"/>
      <w:outlineLvl w:val="4"/>
    </w:pPr>
    <w:rPr>
      <w:rFonts w:ascii="Cambria" w:hAnsi="Cambria"/>
      <w:color w:val="243F60"/>
      <w:szCs w:val="20"/>
      <w:lang w:val="es-ES" w:eastAsia="es-ES"/>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character" w:customStyle="1" w:styleId="Ttulo1Car">
    <w:name w:val="Título 1 Car"/>
    <w:basedOn w:val="Fuentedeprrafopredeter"/>
    <w:link w:val="Ttulo1"/>
    <w:uiPriority w:val="99"/>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99"/>
    <w:semiHidden/>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9"/>
    <w:locked/>
    <w:rsid w:val="00BD4F10"/>
    <w:rPr>
      <w:rFonts w:cs="Times New Roman"/>
      <w:b/>
      <w:sz w:val="28"/>
      <w:lang w:val="es-ES" w:eastAsia="es-ES"/>
    </w:rPr>
  </w:style>
  <w:style w:type="character" w:customStyle="1" w:styleId="Ttulo5Car">
    <w:name w:val="Título 5 Car"/>
    <w:basedOn w:val="Fuentedeprrafopredeter"/>
    <w:link w:val="Ttulo5"/>
    <w:uiPriority w:val="9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rPr>
      <w:rFonts w:ascii="Arial" w:hAnsi="Arial"/>
      <w:color w:val="000000"/>
      <w:szCs w:val="20"/>
      <w:lang w:val="es-ES" w:eastAsia="es-ES"/>
    </w:rPr>
  </w:style>
  <w:style w:type="character" w:customStyle="1" w:styleId="EncabezadoCar">
    <w:name w:val="Encabezado Car"/>
    <w:basedOn w:val="Fuentedeprrafopredeter"/>
    <w:link w:val="Encabezado"/>
    <w:uiPriority w:val="99"/>
    <w:semiHidden/>
    <w:locked/>
    <w:rsid w:val="0078358A"/>
    <w:rPr>
      <w:rFonts w:ascii="Arial" w:hAnsi="Arial" w:cs="Times New Roman"/>
      <w:color w:val="000000"/>
      <w:sz w:val="20"/>
      <w:szCs w:val="20"/>
    </w:rPr>
  </w:style>
  <w:style w:type="paragraph" w:styleId="Piedepgina">
    <w:name w:val="footer"/>
    <w:basedOn w:val="Normal"/>
    <w:link w:val="PiedepginaCar"/>
    <w:rsid w:val="00AE7E3B"/>
    <w:pPr>
      <w:tabs>
        <w:tab w:val="center" w:pos="4252"/>
        <w:tab w:val="right" w:pos="8504"/>
      </w:tabs>
    </w:pPr>
    <w:rPr>
      <w:rFonts w:ascii="Arial" w:hAnsi="Arial"/>
      <w:color w:val="000000"/>
      <w:szCs w:val="20"/>
      <w:lang w:val="es-ES" w:eastAsia="es-ES"/>
    </w:rPr>
  </w:style>
  <w:style w:type="character" w:customStyle="1" w:styleId="PiedepginaCar">
    <w:name w:val="Pie de página Car"/>
    <w:basedOn w:val="Fuentedeprrafopredeter"/>
    <w:link w:val="Piedepgina"/>
    <w:locked/>
    <w:rsid w:val="0078358A"/>
    <w:rPr>
      <w:rFonts w:ascii="Arial" w:hAnsi="Arial" w:cs="Times New Roman"/>
      <w:color w:val="000000"/>
      <w:sz w:val="20"/>
      <w:szCs w:val="20"/>
    </w:rPr>
  </w:style>
  <w:style w:type="paragraph" w:styleId="Textoindependiente">
    <w:name w:val="Body Text"/>
    <w:basedOn w:val="Normal"/>
    <w:link w:val="TextoindependienteCar"/>
    <w:uiPriority w:val="99"/>
    <w:rsid w:val="00AE7E3B"/>
    <w:pPr>
      <w:jc w:val="both"/>
    </w:pPr>
    <w:rPr>
      <w:szCs w:val="20"/>
      <w:lang w:val="es-MX" w:eastAsia="es-ES"/>
    </w:rPr>
  </w:style>
  <w:style w:type="character" w:customStyle="1" w:styleId="TextoindependienteCar">
    <w:name w:val="Texto independiente Car"/>
    <w:basedOn w:val="Fuentedeprrafopredeter"/>
    <w:link w:val="Textoindependiente"/>
    <w:uiPriority w:val="99"/>
    <w:semiHidden/>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semiHidden/>
    <w:rsid w:val="00AE7E3B"/>
    <w:rPr>
      <w:rFonts w:ascii="Arial" w:hAnsi="Arial"/>
      <w:color w:val="000000"/>
      <w:sz w:val="20"/>
      <w:szCs w:val="20"/>
      <w:lang w:val="es-ES" w:eastAsia="es-ES"/>
    </w:rPr>
  </w:style>
  <w:style w:type="character" w:customStyle="1" w:styleId="TextocomentarioCar">
    <w:name w:val="Texto comentario Car"/>
    <w:basedOn w:val="Fuentedeprrafopredeter"/>
    <w:link w:val="Textocomentario"/>
    <w:uiPriority w:val="99"/>
    <w:semiHidden/>
    <w:locked/>
    <w:rsid w:val="0078358A"/>
    <w:rPr>
      <w:rFonts w:ascii="Arial" w:hAnsi="Arial" w:cs="Times New Roman"/>
      <w:color w:val="000000"/>
      <w:sz w:val="20"/>
      <w:szCs w:val="20"/>
    </w:rPr>
  </w:style>
  <w:style w:type="table" w:styleId="Tablaconcuadrcula">
    <w:name w:val="Table Grid"/>
    <w:basedOn w:val="Tablanormal"/>
    <w:uiPriority w:val="3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lang w:val="es-ES" w:eastAsia="es-ES"/>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rFonts w:ascii="Arial" w:hAnsi="Arial"/>
      <w:color w:val="000000"/>
      <w:sz w:val="16"/>
      <w:szCs w:val="16"/>
      <w:lang w:val="es-ES" w:eastAsia="es-ES"/>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basedOn w:val="Normal"/>
    <w:uiPriority w:val="99"/>
    <w:qFormat/>
    <w:rsid w:val="005C3311"/>
    <w:pPr>
      <w:ind w:left="708"/>
    </w:pPr>
    <w:rPr>
      <w:rFonts w:ascii="Arial" w:hAnsi="Arial"/>
      <w:color w:val="000000"/>
      <w:szCs w:val="20"/>
      <w:lang w:val="es-ES" w:eastAsia="es-ES"/>
    </w:rPr>
  </w:style>
  <w:style w:type="paragraph" w:customStyle="1" w:styleId="Table">
    <w:name w:val="Table"/>
    <w:basedOn w:val="Normal"/>
    <w:autoRedefine/>
    <w:uiPriority w:val="99"/>
    <w:rsid w:val="006F04EF"/>
    <w:pPr>
      <w:spacing w:before="40" w:after="40"/>
      <w:ind w:left="4" w:hanging="4"/>
    </w:pPr>
    <w:rPr>
      <w:rFonts w:ascii="Arial" w:hAnsi="Arial"/>
      <w:b/>
      <w:color w:val="000000"/>
      <w:sz w:val="20"/>
      <w:szCs w:val="20"/>
      <w:lang w:val="en-GB" w:eastAsia="en-US"/>
    </w:rPr>
  </w:style>
  <w:style w:type="paragraph" w:styleId="Asuntodelcomentario">
    <w:name w:val="annotation subject"/>
    <w:basedOn w:val="Textocomentario"/>
    <w:next w:val="Textocomentario"/>
    <w:link w:val="AsuntodelcomentarioCar"/>
    <w:uiPriority w:val="99"/>
    <w:semiHidden/>
    <w:unhideWhenUsed/>
    <w:rsid w:val="00C47895"/>
    <w:rPr>
      <w:rFonts w:ascii="Times New Roman" w:hAnsi="Times New Roman"/>
      <w:b/>
      <w:bCs/>
      <w:color w:val="auto"/>
      <w:lang w:val="es-CO" w:eastAsia="es-ES_tradnl"/>
    </w:rPr>
  </w:style>
  <w:style w:type="character" w:customStyle="1" w:styleId="AsuntodelcomentarioCar">
    <w:name w:val="Asunto del comentario Car"/>
    <w:basedOn w:val="TextocomentarioCar"/>
    <w:link w:val="Asuntodelcomentario"/>
    <w:uiPriority w:val="99"/>
    <w:semiHidden/>
    <w:rsid w:val="00C47895"/>
    <w:rPr>
      <w:rFonts w:ascii="Arial" w:hAnsi="Arial" w:cs="Times New Roman"/>
      <w:b/>
      <w:bCs/>
      <w:color w:val="000000"/>
      <w:sz w:val="20"/>
      <w:szCs w:val="20"/>
      <w:lang w:val="es-CO" w:eastAsia="es-ES_tradnl"/>
    </w:rPr>
  </w:style>
  <w:style w:type="character" w:customStyle="1" w:styleId="Mencinsinresolver1">
    <w:name w:val="Mención sin resolver1"/>
    <w:basedOn w:val="Fuentedeprrafopredeter"/>
    <w:uiPriority w:val="99"/>
    <w:semiHidden/>
    <w:unhideWhenUsed/>
    <w:rsid w:val="005F3383"/>
    <w:rPr>
      <w:color w:val="605E5C"/>
      <w:shd w:val="clear" w:color="auto" w:fill="E1DFDD"/>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left w:w="108" w:type="dxa"/>
        <w:right w:w="108" w:type="dxa"/>
      </w:tblCellMar>
    </w:tblPr>
  </w:style>
  <w:style w:type="table" w:customStyle="1" w:styleId="a3">
    <w:basedOn w:val="TableNormal"/>
    <w:tblPr>
      <w:tblStyleRowBandSize w:val="1"/>
      <w:tblStyleColBandSize w:val="1"/>
      <w:tblCellMar>
        <w:left w:w="70" w:type="dxa"/>
        <w:right w:w="70" w:type="dxa"/>
      </w:tblCellMar>
    </w:tblPr>
  </w:style>
  <w:style w:type="paragraph" w:customStyle="1" w:styleId="p1">
    <w:name w:val="p1"/>
    <w:basedOn w:val="Normal"/>
    <w:rsid w:val="00380362"/>
    <w:rPr>
      <w:rFonts w:eastAsiaTheme="minorEastAsia"/>
      <w:color w:val="000000"/>
      <w:sz w:val="18"/>
      <w:szCs w:val="18"/>
      <w:lang w:eastAsia="es-ES"/>
    </w:rPr>
  </w:style>
  <w:style w:type="character" w:customStyle="1" w:styleId="s1">
    <w:name w:val="s1"/>
    <w:basedOn w:val="Fuentedeprrafopredeter"/>
    <w:rsid w:val="00380362"/>
    <w:rPr>
      <w:rFonts w:ascii="Times New Roman" w:hAnsi="Times New Roman" w:cs="Times New Roman" w:hint="default"/>
      <w:b w:val="0"/>
      <w:bCs w:val="0"/>
      <w:i w:val="0"/>
      <w:iCs w:val="0"/>
      <w:sz w:val="18"/>
      <w:szCs w:val="18"/>
    </w:rPr>
  </w:style>
  <w:style w:type="paragraph" w:styleId="NormalWeb">
    <w:name w:val="Normal (Web)"/>
    <w:basedOn w:val="Normal"/>
    <w:uiPriority w:val="99"/>
    <w:semiHidden/>
    <w:unhideWhenUsed/>
    <w:rsid w:val="00544FE4"/>
    <w:pPr>
      <w:spacing w:before="100" w:beforeAutospacing="1" w:after="100" w:afterAutospacing="1"/>
    </w:pPr>
    <w:rPr>
      <w:rFonts w:eastAsiaTheme="minorEastAsia"/>
      <w:lang w:eastAsia="es-ES"/>
    </w:rPr>
  </w:style>
  <w:style w:type="character" w:customStyle="1" w:styleId="apple-converted-space">
    <w:name w:val="apple-converted-space"/>
    <w:basedOn w:val="Fuentedeprrafopredeter"/>
    <w:rsid w:val="00BC59B8"/>
  </w:style>
  <w:style w:type="character" w:customStyle="1" w:styleId="Mencinsinresolver2">
    <w:name w:val="Mención sin resolver2"/>
    <w:basedOn w:val="Fuentedeprrafopredeter"/>
    <w:uiPriority w:val="99"/>
    <w:semiHidden/>
    <w:unhideWhenUsed/>
    <w:rsid w:val="00F73E6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87276">
      <w:bodyDiv w:val="1"/>
      <w:marLeft w:val="0"/>
      <w:marRight w:val="0"/>
      <w:marTop w:val="0"/>
      <w:marBottom w:val="0"/>
      <w:divBdr>
        <w:top w:val="none" w:sz="0" w:space="0" w:color="auto"/>
        <w:left w:val="none" w:sz="0" w:space="0" w:color="auto"/>
        <w:bottom w:val="none" w:sz="0" w:space="0" w:color="auto"/>
        <w:right w:val="none" w:sz="0" w:space="0" w:color="auto"/>
      </w:divBdr>
    </w:div>
    <w:div w:id="24445303">
      <w:bodyDiv w:val="1"/>
      <w:marLeft w:val="0"/>
      <w:marRight w:val="0"/>
      <w:marTop w:val="0"/>
      <w:marBottom w:val="0"/>
      <w:divBdr>
        <w:top w:val="none" w:sz="0" w:space="0" w:color="auto"/>
        <w:left w:val="none" w:sz="0" w:space="0" w:color="auto"/>
        <w:bottom w:val="none" w:sz="0" w:space="0" w:color="auto"/>
        <w:right w:val="none" w:sz="0" w:space="0" w:color="auto"/>
      </w:divBdr>
    </w:div>
    <w:div w:id="52430887">
      <w:bodyDiv w:val="1"/>
      <w:marLeft w:val="0"/>
      <w:marRight w:val="0"/>
      <w:marTop w:val="0"/>
      <w:marBottom w:val="0"/>
      <w:divBdr>
        <w:top w:val="none" w:sz="0" w:space="0" w:color="auto"/>
        <w:left w:val="none" w:sz="0" w:space="0" w:color="auto"/>
        <w:bottom w:val="none" w:sz="0" w:space="0" w:color="auto"/>
        <w:right w:val="none" w:sz="0" w:space="0" w:color="auto"/>
      </w:divBdr>
    </w:div>
    <w:div w:id="110632084">
      <w:bodyDiv w:val="1"/>
      <w:marLeft w:val="0"/>
      <w:marRight w:val="0"/>
      <w:marTop w:val="0"/>
      <w:marBottom w:val="0"/>
      <w:divBdr>
        <w:top w:val="none" w:sz="0" w:space="0" w:color="auto"/>
        <w:left w:val="none" w:sz="0" w:space="0" w:color="auto"/>
        <w:bottom w:val="none" w:sz="0" w:space="0" w:color="auto"/>
        <w:right w:val="none" w:sz="0" w:space="0" w:color="auto"/>
      </w:divBdr>
    </w:div>
    <w:div w:id="237206297">
      <w:bodyDiv w:val="1"/>
      <w:marLeft w:val="0"/>
      <w:marRight w:val="0"/>
      <w:marTop w:val="0"/>
      <w:marBottom w:val="0"/>
      <w:divBdr>
        <w:top w:val="none" w:sz="0" w:space="0" w:color="auto"/>
        <w:left w:val="none" w:sz="0" w:space="0" w:color="auto"/>
        <w:bottom w:val="none" w:sz="0" w:space="0" w:color="auto"/>
        <w:right w:val="none" w:sz="0" w:space="0" w:color="auto"/>
      </w:divBdr>
    </w:div>
    <w:div w:id="334652527">
      <w:bodyDiv w:val="1"/>
      <w:marLeft w:val="0"/>
      <w:marRight w:val="0"/>
      <w:marTop w:val="0"/>
      <w:marBottom w:val="0"/>
      <w:divBdr>
        <w:top w:val="none" w:sz="0" w:space="0" w:color="auto"/>
        <w:left w:val="none" w:sz="0" w:space="0" w:color="auto"/>
        <w:bottom w:val="none" w:sz="0" w:space="0" w:color="auto"/>
        <w:right w:val="none" w:sz="0" w:space="0" w:color="auto"/>
      </w:divBdr>
    </w:div>
    <w:div w:id="440732618">
      <w:bodyDiv w:val="1"/>
      <w:marLeft w:val="0"/>
      <w:marRight w:val="0"/>
      <w:marTop w:val="0"/>
      <w:marBottom w:val="0"/>
      <w:divBdr>
        <w:top w:val="none" w:sz="0" w:space="0" w:color="auto"/>
        <w:left w:val="none" w:sz="0" w:space="0" w:color="auto"/>
        <w:bottom w:val="none" w:sz="0" w:space="0" w:color="auto"/>
        <w:right w:val="none" w:sz="0" w:space="0" w:color="auto"/>
      </w:divBdr>
    </w:div>
    <w:div w:id="484975586">
      <w:bodyDiv w:val="1"/>
      <w:marLeft w:val="0"/>
      <w:marRight w:val="0"/>
      <w:marTop w:val="0"/>
      <w:marBottom w:val="0"/>
      <w:divBdr>
        <w:top w:val="none" w:sz="0" w:space="0" w:color="auto"/>
        <w:left w:val="none" w:sz="0" w:space="0" w:color="auto"/>
        <w:bottom w:val="none" w:sz="0" w:space="0" w:color="auto"/>
        <w:right w:val="none" w:sz="0" w:space="0" w:color="auto"/>
      </w:divBdr>
    </w:div>
    <w:div w:id="488597058">
      <w:bodyDiv w:val="1"/>
      <w:marLeft w:val="0"/>
      <w:marRight w:val="0"/>
      <w:marTop w:val="0"/>
      <w:marBottom w:val="0"/>
      <w:divBdr>
        <w:top w:val="none" w:sz="0" w:space="0" w:color="auto"/>
        <w:left w:val="none" w:sz="0" w:space="0" w:color="auto"/>
        <w:bottom w:val="none" w:sz="0" w:space="0" w:color="auto"/>
        <w:right w:val="none" w:sz="0" w:space="0" w:color="auto"/>
      </w:divBdr>
    </w:div>
    <w:div w:id="491146973">
      <w:bodyDiv w:val="1"/>
      <w:marLeft w:val="0"/>
      <w:marRight w:val="0"/>
      <w:marTop w:val="0"/>
      <w:marBottom w:val="0"/>
      <w:divBdr>
        <w:top w:val="none" w:sz="0" w:space="0" w:color="auto"/>
        <w:left w:val="none" w:sz="0" w:space="0" w:color="auto"/>
        <w:bottom w:val="none" w:sz="0" w:space="0" w:color="auto"/>
        <w:right w:val="none" w:sz="0" w:space="0" w:color="auto"/>
      </w:divBdr>
    </w:div>
    <w:div w:id="525558878">
      <w:bodyDiv w:val="1"/>
      <w:marLeft w:val="0"/>
      <w:marRight w:val="0"/>
      <w:marTop w:val="0"/>
      <w:marBottom w:val="0"/>
      <w:divBdr>
        <w:top w:val="none" w:sz="0" w:space="0" w:color="auto"/>
        <w:left w:val="none" w:sz="0" w:space="0" w:color="auto"/>
        <w:bottom w:val="none" w:sz="0" w:space="0" w:color="auto"/>
        <w:right w:val="none" w:sz="0" w:space="0" w:color="auto"/>
      </w:divBdr>
    </w:div>
    <w:div w:id="552931139">
      <w:bodyDiv w:val="1"/>
      <w:marLeft w:val="0"/>
      <w:marRight w:val="0"/>
      <w:marTop w:val="0"/>
      <w:marBottom w:val="0"/>
      <w:divBdr>
        <w:top w:val="none" w:sz="0" w:space="0" w:color="auto"/>
        <w:left w:val="none" w:sz="0" w:space="0" w:color="auto"/>
        <w:bottom w:val="none" w:sz="0" w:space="0" w:color="auto"/>
        <w:right w:val="none" w:sz="0" w:space="0" w:color="auto"/>
      </w:divBdr>
    </w:div>
    <w:div w:id="619144408">
      <w:bodyDiv w:val="1"/>
      <w:marLeft w:val="0"/>
      <w:marRight w:val="0"/>
      <w:marTop w:val="0"/>
      <w:marBottom w:val="0"/>
      <w:divBdr>
        <w:top w:val="none" w:sz="0" w:space="0" w:color="auto"/>
        <w:left w:val="none" w:sz="0" w:space="0" w:color="auto"/>
        <w:bottom w:val="none" w:sz="0" w:space="0" w:color="auto"/>
        <w:right w:val="none" w:sz="0" w:space="0" w:color="auto"/>
      </w:divBdr>
    </w:div>
    <w:div w:id="619459150">
      <w:bodyDiv w:val="1"/>
      <w:marLeft w:val="0"/>
      <w:marRight w:val="0"/>
      <w:marTop w:val="0"/>
      <w:marBottom w:val="0"/>
      <w:divBdr>
        <w:top w:val="none" w:sz="0" w:space="0" w:color="auto"/>
        <w:left w:val="none" w:sz="0" w:space="0" w:color="auto"/>
        <w:bottom w:val="none" w:sz="0" w:space="0" w:color="auto"/>
        <w:right w:val="none" w:sz="0" w:space="0" w:color="auto"/>
      </w:divBdr>
    </w:div>
    <w:div w:id="619999034">
      <w:bodyDiv w:val="1"/>
      <w:marLeft w:val="0"/>
      <w:marRight w:val="0"/>
      <w:marTop w:val="0"/>
      <w:marBottom w:val="0"/>
      <w:divBdr>
        <w:top w:val="none" w:sz="0" w:space="0" w:color="auto"/>
        <w:left w:val="none" w:sz="0" w:space="0" w:color="auto"/>
        <w:bottom w:val="none" w:sz="0" w:space="0" w:color="auto"/>
        <w:right w:val="none" w:sz="0" w:space="0" w:color="auto"/>
      </w:divBdr>
    </w:div>
    <w:div w:id="721365154">
      <w:bodyDiv w:val="1"/>
      <w:marLeft w:val="0"/>
      <w:marRight w:val="0"/>
      <w:marTop w:val="0"/>
      <w:marBottom w:val="0"/>
      <w:divBdr>
        <w:top w:val="none" w:sz="0" w:space="0" w:color="auto"/>
        <w:left w:val="none" w:sz="0" w:space="0" w:color="auto"/>
        <w:bottom w:val="none" w:sz="0" w:space="0" w:color="auto"/>
        <w:right w:val="none" w:sz="0" w:space="0" w:color="auto"/>
      </w:divBdr>
    </w:div>
    <w:div w:id="725029103">
      <w:bodyDiv w:val="1"/>
      <w:marLeft w:val="0"/>
      <w:marRight w:val="0"/>
      <w:marTop w:val="0"/>
      <w:marBottom w:val="0"/>
      <w:divBdr>
        <w:top w:val="none" w:sz="0" w:space="0" w:color="auto"/>
        <w:left w:val="none" w:sz="0" w:space="0" w:color="auto"/>
        <w:bottom w:val="none" w:sz="0" w:space="0" w:color="auto"/>
        <w:right w:val="none" w:sz="0" w:space="0" w:color="auto"/>
      </w:divBdr>
    </w:div>
    <w:div w:id="756439680">
      <w:bodyDiv w:val="1"/>
      <w:marLeft w:val="0"/>
      <w:marRight w:val="0"/>
      <w:marTop w:val="0"/>
      <w:marBottom w:val="0"/>
      <w:divBdr>
        <w:top w:val="none" w:sz="0" w:space="0" w:color="auto"/>
        <w:left w:val="none" w:sz="0" w:space="0" w:color="auto"/>
        <w:bottom w:val="none" w:sz="0" w:space="0" w:color="auto"/>
        <w:right w:val="none" w:sz="0" w:space="0" w:color="auto"/>
      </w:divBdr>
    </w:div>
    <w:div w:id="779958760">
      <w:bodyDiv w:val="1"/>
      <w:marLeft w:val="0"/>
      <w:marRight w:val="0"/>
      <w:marTop w:val="0"/>
      <w:marBottom w:val="0"/>
      <w:divBdr>
        <w:top w:val="none" w:sz="0" w:space="0" w:color="auto"/>
        <w:left w:val="none" w:sz="0" w:space="0" w:color="auto"/>
        <w:bottom w:val="none" w:sz="0" w:space="0" w:color="auto"/>
        <w:right w:val="none" w:sz="0" w:space="0" w:color="auto"/>
      </w:divBdr>
      <w:divsChild>
        <w:div w:id="691077383">
          <w:marLeft w:val="0"/>
          <w:marRight w:val="0"/>
          <w:marTop w:val="0"/>
          <w:marBottom w:val="0"/>
          <w:divBdr>
            <w:top w:val="none" w:sz="0" w:space="0" w:color="auto"/>
            <w:left w:val="none" w:sz="0" w:space="0" w:color="auto"/>
            <w:bottom w:val="none" w:sz="0" w:space="0" w:color="auto"/>
            <w:right w:val="none" w:sz="0" w:space="0" w:color="auto"/>
          </w:divBdr>
        </w:div>
        <w:div w:id="1969967123">
          <w:marLeft w:val="0"/>
          <w:marRight w:val="0"/>
          <w:marTop w:val="0"/>
          <w:marBottom w:val="0"/>
          <w:divBdr>
            <w:top w:val="none" w:sz="0" w:space="0" w:color="auto"/>
            <w:left w:val="none" w:sz="0" w:space="0" w:color="auto"/>
            <w:bottom w:val="none" w:sz="0" w:space="0" w:color="auto"/>
            <w:right w:val="none" w:sz="0" w:space="0" w:color="auto"/>
          </w:divBdr>
          <w:divsChild>
            <w:div w:id="1120609400">
              <w:marLeft w:val="0"/>
              <w:marRight w:val="0"/>
              <w:marTop w:val="0"/>
              <w:marBottom w:val="0"/>
              <w:divBdr>
                <w:top w:val="none" w:sz="0" w:space="0" w:color="auto"/>
                <w:left w:val="none" w:sz="0" w:space="0" w:color="auto"/>
                <w:bottom w:val="none" w:sz="0" w:space="0" w:color="auto"/>
                <w:right w:val="none" w:sz="0" w:space="0" w:color="auto"/>
              </w:divBdr>
            </w:div>
          </w:divsChild>
        </w:div>
        <w:div w:id="1356419298">
          <w:marLeft w:val="0"/>
          <w:marRight w:val="0"/>
          <w:marTop w:val="0"/>
          <w:marBottom w:val="0"/>
          <w:divBdr>
            <w:top w:val="none" w:sz="0" w:space="0" w:color="auto"/>
            <w:left w:val="none" w:sz="0" w:space="0" w:color="auto"/>
            <w:bottom w:val="none" w:sz="0" w:space="0" w:color="auto"/>
            <w:right w:val="none" w:sz="0" w:space="0" w:color="auto"/>
          </w:divBdr>
        </w:div>
        <w:div w:id="1990087342">
          <w:marLeft w:val="0"/>
          <w:marRight w:val="0"/>
          <w:marTop w:val="0"/>
          <w:marBottom w:val="0"/>
          <w:divBdr>
            <w:top w:val="none" w:sz="0" w:space="0" w:color="auto"/>
            <w:left w:val="none" w:sz="0" w:space="0" w:color="auto"/>
            <w:bottom w:val="none" w:sz="0" w:space="0" w:color="auto"/>
            <w:right w:val="none" w:sz="0" w:space="0" w:color="auto"/>
          </w:divBdr>
        </w:div>
      </w:divsChild>
    </w:div>
    <w:div w:id="822626049">
      <w:bodyDiv w:val="1"/>
      <w:marLeft w:val="0"/>
      <w:marRight w:val="0"/>
      <w:marTop w:val="0"/>
      <w:marBottom w:val="0"/>
      <w:divBdr>
        <w:top w:val="none" w:sz="0" w:space="0" w:color="auto"/>
        <w:left w:val="none" w:sz="0" w:space="0" w:color="auto"/>
        <w:bottom w:val="none" w:sz="0" w:space="0" w:color="auto"/>
        <w:right w:val="none" w:sz="0" w:space="0" w:color="auto"/>
      </w:divBdr>
    </w:div>
    <w:div w:id="825125207">
      <w:bodyDiv w:val="1"/>
      <w:marLeft w:val="0"/>
      <w:marRight w:val="0"/>
      <w:marTop w:val="0"/>
      <w:marBottom w:val="0"/>
      <w:divBdr>
        <w:top w:val="none" w:sz="0" w:space="0" w:color="auto"/>
        <w:left w:val="none" w:sz="0" w:space="0" w:color="auto"/>
        <w:bottom w:val="none" w:sz="0" w:space="0" w:color="auto"/>
        <w:right w:val="none" w:sz="0" w:space="0" w:color="auto"/>
      </w:divBdr>
      <w:divsChild>
        <w:div w:id="677191942">
          <w:marLeft w:val="0"/>
          <w:marRight w:val="0"/>
          <w:marTop w:val="0"/>
          <w:marBottom w:val="150"/>
          <w:divBdr>
            <w:top w:val="none" w:sz="0" w:space="0" w:color="auto"/>
            <w:left w:val="none" w:sz="0" w:space="0" w:color="auto"/>
            <w:bottom w:val="none" w:sz="0" w:space="0" w:color="auto"/>
            <w:right w:val="none" w:sz="0" w:space="0" w:color="auto"/>
          </w:divBdr>
        </w:div>
        <w:div w:id="2087416631">
          <w:marLeft w:val="0"/>
          <w:marRight w:val="0"/>
          <w:marTop w:val="0"/>
          <w:marBottom w:val="150"/>
          <w:divBdr>
            <w:top w:val="none" w:sz="0" w:space="0" w:color="auto"/>
            <w:left w:val="none" w:sz="0" w:space="0" w:color="auto"/>
            <w:bottom w:val="none" w:sz="0" w:space="0" w:color="auto"/>
            <w:right w:val="none" w:sz="0" w:space="0" w:color="auto"/>
          </w:divBdr>
        </w:div>
      </w:divsChild>
    </w:div>
    <w:div w:id="840437308">
      <w:bodyDiv w:val="1"/>
      <w:marLeft w:val="0"/>
      <w:marRight w:val="0"/>
      <w:marTop w:val="0"/>
      <w:marBottom w:val="0"/>
      <w:divBdr>
        <w:top w:val="none" w:sz="0" w:space="0" w:color="auto"/>
        <w:left w:val="none" w:sz="0" w:space="0" w:color="auto"/>
        <w:bottom w:val="none" w:sz="0" w:space="0" w:color="auto"/>
        <w:right w:val="none" w:sz="0" w:space="0" w:color="auto"/>
      </w:divBdr>
    </w:div>
    <w:div w:id="869075891">
      <w:bodyDiv w:val="1"/>
      <w:marLeft w:val="0"/>
      <w:marRight w:val="0"/>
      <w:marTop w:val="0"/>
      <w:marBottom w:val="0"/>
      <w:divBdr>
        <w:top w:val="none" w:sz="0" w:space="0" w:color="auto"/>
        <w:left w:val="none" w:sz="0" w:space="0" w:color="auto"/>
        <w:bottom w:val="none" w:sz="0" w:space="0" w:color="auto"/>
        <w:right w:val="none" w:sz="0" w:space="0" w:color="auto"/>
      </w:divBdr>
    </w:div>
    <w:div w:id="893126966">
      <w:bodyDiv w:val="1"/>
      <w:marLeft w:val="0"/>
      <w:marRight w:val="0"/>
      <w:marTop w:val="0"/>
      <w:marBottom w:val="0"/>
      <w:divBdr>
        <w:top w:val="none" w:sz="0" w:space="0" w:color="auto"/>
        <w:left w:val="none" w:sz="0" w:space="0" w:color="auto"/>
        <w:bottom w:val="none" w:sz="0" w:space="0" w:color="auto"/>
        <w:right w:val="none" w:sz="0" w:space="0" w:color="auto"/>
      </w:divBdr>
    </w:div>
    <w:div w:id="908345330">
      <w:bodyDiv w:val="1"/>
      <w:marLeft w:val="0"/>
      <w:marRight w:val="0"/>
      <w:marTop w:val="0"/>
      <w:marBottom w:val="0"/>
      <w:divBdr>
        <w:top w:val="none" w:sz="0" w:space="0" w:color="auto"/>
        <w:left w:val="none" w:sz="0" w:space="0" w:color="auto"/>
        <w:bottom w:val="none" w:sz="0" w:space="0" w:color="auto"/>
        <w:right w:val="none" w:sz="0" w:space="0" w:color="auto"/>
      </w:divBdr>
    </w:div>
    <w:div w:id="959147505">
      <w:bodyDiv w:val="1"/>
      <w:marLeft w:val="0"/>
      <w:marRight w:val="0"/>
      <w:marTop w:val="0"/>
      <w:marBottom w:val="0"/>
      <w:divBdr>
        <w:top w:val="none" w:sz="0" w:space="0" w:color="auto"/>
        <w:left w:val="none" w:sz="0" w:space="0" w:color="auto"/>
        <w:bottom w:val="none" w:sz="0" w:space="0" w:color="auto"/>
        <w:right w:val="none" w:sz="0" w:space="0" w:color="auto"/>
      </w:divBdr>
    </w:div>
    <w:div w:id="1004667485">
      <w:bodyDiv w:val="1"/>
      <w:marLeft w:val="0"/>
      <w:marRight w:val="0"/>
      <w:marTop w:val="0"/>
      <w:marBottom w:val="0"/>
      <w:divBdr>
        <w:top w:val="none" w:sz="0" w:space="0" w:color="auto"/>
        <w:left w:val="none" w:sz="0" w:space="0" w:color="auto"/>
        <w:bottom w:val="none" w:sz="0" w:space="0" w:color="auto"/>
        <w:right w:val="none" w:sz="0" w:space="0" w:color="auto"/>
      </w:divBdr>
    </w:div>
    <w:div w:id="1044253692">
      <w:bodyDiv w:val="1"/>
      <w:marLeft w:val="0"/>
      <w:marRight w:val="0"/>
      <w:marTop w:val="0"/>
      <w:marBottom w:val="0"/>
      <w:divBdr>
        <w:top w:val="none" w:sz="0" w:space="0" w:color="auto"/>
        <w:left w:val="none" w:sz="0" w:space="0" w:color="auto"/>
        <w:bottom w:val="none" w:sz="0" w:space="0" w:color="auto"/>
        <w:right w:val="none" w:sz="0" w:space="0" w:color="auto"/>
      </w:divBdr>
    </w:div>
    <w:div w:id="1058044272">
      <w:bodyDiv w:val="1"/>
      <w:marLeft w:val="0"/>
      <w:marRight w:val="0"/>
      <w:marTop w:val="0"/>
      <w:marBottom w:val="0"/>
      <w:divBdr>
        <w:top w:val="none" w:sz="0" w:space="0" w:color="auto"/>
        <w:left w:val="none" w:sz="0" w:space="0" w:color="auto"/>
        <w:bottom w:val="none" w:sz="0" w:space="0" w:color="auto"/>
        <w:right w:val="none" w:sz="0" w:space="0" w:color="auto"/>
      </w:divBdr>
    </w:div>
    <w:div w:id="1064334567">
      <w:bodyDiv w:val="1"/>
      <w:marLeft w:val="0"/>
      <w:marRight w:val="0"/>
      <w:marTop w:val="0"/>
      <w:marBottom w:val="0"/>
      <w:divBdr>
        <w:top w:val="none" w:sz="0" w:space="0" w:color="auto"/>
        <w:left w:val="none" w:sz="0" w:space="0" w:color="auto"/>
        <w:bottom w:val="none" w:sz="0" w:space="0" w:color="auto"/>
        <w:right w:val="none" w:sz="0" w:space="0" w:color="auto"/>
      </w:divBdr>
    </w:div>
    <w:div w:id="1093550930">
      <w:bodyDiv w:val="1"/>
      <w:marLeft w:val="0"/>
      <w:marRight w:val="0"/>
      <w:marTop w:val="0"/>
      <w:marBottom w:val="0"/>
      <w:divBdr>
        <w:top w:val="none" w:sz="0" w:space="0" w:color="auto"/>
        <w:left w:val="none" w:sz="0" w:space="0" w:color="auto"/>
        <w:bottom w:val="none" w:sz="0" w:space="0" w:color="auto"/>
        <w:right w:val="none" w:sz="0" w:space="0" w:color="auto"/>
      </w:divBdr>
    </w:div>
    <w:div w:id="1114400664">
      <w:bodyDiv w:val="1"/>
      <w:marLeft w:val="0"/>
      <w:marRight w:val="0"/>
      <w:marTop w:val="0"/>
      <w:marBottom w:val="0"/>
      <w:divBdr>
        <w:top w:val="none" w:sz="0" w:space="0" w:color="auto"/>
        <w:left w:val="none" w:sz="0" w:space="0" w:color="auto"/>
        <w:bottom w:val="none" w:sz="0" w:space="0" w:color="auto"/>
        <w:right w:val="none" w:sz="0" w:space="0" w:color="auto"/>
      </w:divBdr>
    </w:div>
    <w:div w:id="1134443020">
      <w:bodyDiv w:val="1"/>
      <w:marLeft w:val="0"/>
      <w:marRight w:val="0"/>
      <w:marTop w:val="0"/>
      <w:marBottom w:val="0"/>
      <w:divBdr>
        <w:top w:val="none" w:sz="0" w:space="0" w:color="auto"/>
        <w:left w:val="none" w:sz="0" w:space="0" w:color="auto"/>
        <w:bottom w:val="none" w:sz="0" w:space="0" w:color="auto"/>
        <w:right w:val="none" w:sz="0" w:space="0" w:color="auto"/>
      </w:divBdr>
    </w:div>
    <w:div w:id="1134981031">
      <w:bodyDiv w:val="1"/>
      <w:marLeft w:val="0"/>
      <w:marRight w:val="0"/>
      <w:marTop w:val="0"/>
      <w:marBottom w:val="0"/>
      <w:divBdr>
        <w:top w:val="none" w:sz="0" w:space="0" w:color="auto"/>
        <w:left w:val="none" w:sz="0" w:space="0" w:color="auto"/>
        <w:bottom w:val="none" w:sz="0" w:space="0" w:color="auto"/>
        <w:right w:val="none" w:sz="0" w:space="0" w:color="auto"/>
      </w:divBdr>
    </w:div>
    <w:div w:id="1174077467">
      <w:bodyDiv w:val="1"/>
      <w:marLeft w:val="0"/>
      <w:marRight w:val="0"/>
      <w:marTop w:val="0"/>
      <w:marBottom w:val="0"/>
      <w:divBdr>
        <w:top w:val="none" w:sz="0" w:space="0" w:color="auto"/>
        <w:left w:val="none" w:sz="0" w:space="0" w:color="auto"/>
        <w:bottom w:val="none" w:sz="0" w:space="0" w:color="auto"/>
        <w:right w:val="none" w:sz="0" w:space="0" w:color="auto"/>
      </w:divBdr>
    </w:div>
    <w:div w:id="1197158578">
      <w:bodyDiv w:val="1"/>
      <w:marLeft w:val="0"/>
      <w:marRight w:val="0"/>
      <w:marTop w:val="0"/>
      <w:marBottom w:val="0"/>
      <w:divBdr>
        <w:top w:val="none" w:sz="0" w:space="0" w:color="auto"/>
        <w:left w:val="none" w:sz="0" w:space="0" w:color="auto"/>
        <w:bottom w:val="none" w:sz="0" w:space="0" w:color="auto"/>
        <w:right w:val="none" w:sz="0" w:space="0" w:color="auto"/>
      </w:divBdr>
    </w:div>
    <w:div w:id="1208957407">
      <w:bodyDiv w:val="1"/>
      <w:marLeft w:val="0"/>
      <w:marRight w:val="0"/>
      <w:marTop w:val="0"/>
      <w:marBottom w:val="0"/>
      <w:divBdr>
        <w:top w:val="none" w:sz="0" w:space="0" w:color="auto"/>
        <w:left w:val="none" w:sz="0" w:space="0" w:color="auto"/>
        <w:bottom w:val="none" w:sz="0" w:space="0" w:color="auto"/>
        <w:right w:val="none" w:sz="0" w:space="0" w:color="auto"/>
      </w:divBdr>
    </w:div>
    <w:div w:id="1247493063">
      <w:bodyDiv w:val="1"/>
      <w:marLeft w:val="0"/>
      <w:marRight w:val="0"/>
      <w:marTop w:val="0"/>
      <w:marBottom w:val="0"/>
      <w:divBdr>
        <w:top w:val="none" w:sz="0" w:space="0" w:color="auto"/>
        <w:left w:val="none" w:sz="0" w:space="0" w:color="auto"/>
        <w:bottom w:val="none" w:sz="0" w:space="0" w:color="auto"/>
        <w:right w:val="none" w:sz="0" w:space="0" w:color="auto"/>
      </w:divBdr>
    </w:div>
    <w:div w:id="1306665661">
      <w:bodyDiv w:val="1"/>
      <w:marLeft w:val="0"/>
      <w:marRight w:val="0"/>
      <w:marTop w:val="0"/>
      <w:marBottom w:val="0"/>
      <w:divBdr>
        <w:top w:val="none" w:sz="0" w:space="0" w:color="auto"/>
        <w:left w:val="none" w:sz="0" w:space="0" w:color="auto"/>
        <w:bottom w:val="none" w:sz="0" w:space="0" w:color="auto"/>
        <w:right w:val="none" w:sz="0" w:space="0" w:color="auto"/>
      </w:divBdr>
    </w:div>
    <w:div w:id="1334645620">
      <w:bodyDiv w:val="1"/>
      <w:marLeft w:val="0"/>
      <w:marRight w:val="0"/>
      <w:marTop w:val="0"/>
      <w:marBottom w:val="0"/>
      <w:divBdr>
        <w:top w:val="none" w:sz="0" w:space="0" w:color="auto"/>
        <w:left w:val="none" w:sz="0" w:space="0" w:color="auto"/>
        <w:bottom w:val="none" w:sz="0" w:space="0" w:color="auto"/>
        <w:right w:val="none" w:sz="0" w:space="0" w:color="auto"/>
      </w:divBdr>
    </w:div>
    <w:div w:id="1352799127">
      <w:bodyDiv w:val="1"/>
      <w:marLeft w:val="0"/>
      <w:marRight w:val="0"/>
      <w:marTop w:val="0"/>
      <w:marBottom w:val="0"/>
      <w:divBdr>
        <w:top w:val="none" w:sz="0" w:space="0" w:color="auto"/>
        <w:left w:val="none" w:sz="0" w:space="0" w:color="auto"/>
        <w:bottom w:val="none" w:sz="0" w:space="0" w:color="auto"/>
        <w:right w:val="none" w:sz="0" w:space="0" w:color="auto"/>
      </w:divBdr>
    </w:div>
    <w:div w:id="1353192745">
      <w:bodyDiv w:val="1"/>
      <w:marLeft w:val="0"/>
      <w:marRight w:val="0"/>
      <w:marTop w:val="0"/>
      <w:marBottom w:val="0"/>
      <w:divBdr>
        <w:top w:val="none" w:sz="0" w:space="0" w:color="auto"/>
        <w:left w:val="none" w:sz="0" w:space="0" w:color="auto"/>
        <w:bottom w:val="none" w:sz="0" w:space="0" w:color="auto"/>
        <w:right w:val="none" w:sz="0" w:space="0" w:color="auto"/>
      </w:divBdr>
    </w:div>
    <w:div w:id="1357392564">
      <w:bodyDiv w:val="1"/>
      <w:marLeft w:val="0"/>
      <w:marRight w:val="0"/>
      <w:marTop w:val="0"/>
      <w:marBottom w:val="0"/>
      <w:divBdr>
        <w:top w:val="none" w:sz="0" w:space="0" w:color="auto"/>
        <w:left w:val="none" w:sz="0" w:space="0" w:color="auto"/>
        <w:bottom w:val="none" w:sz="0" w:space="0" w:color="auto"/>
        <w:right w:val="none" w:sz="0" w:space="0" w:color="auto"/>
      </w:divBdr>
    </w:div>
    <w:div w:id="1415663504">
      <w:bodyDiv w:val="1"/>
      <w:marLeft w:val="0"/>
      <w:marRight w:val="0"/>
      <w:marTop w:val="0"/>
      <w:marBottom w:val="0"/>
      <w:divBdr>
        <w:top w:val="none" w:sz="0" w:space="0" w:color="auto"/>
        <w:left w:val="none" w:sz="0" w:space="0" w:color="auto"/>
        <w:bottom w:val="none" w:sz="0" w:space="0" w:color="auto"/>
        <w:right w:val="none" w:sz="0" w:space="0" w:color="auto"/>
      </w:divBdr>
    </w:div>
    <w:div w:id="1430196579">
      <w:bodyDiv w:val="1"/>
      <w:marLeft w:val="0"/>
      <w:marRight w:val="0"/>
      <w:marTop w:val="0"/>
      <w:marBottom w:val="0"/>
      <w:divBdr>
        <w:top w:val="none" w:sz="0" w:space="0" w:color="auto"/>
        <w:left w:val="none" w:sz="0" w:space="0" w:color="auto"/>
        <w:bottom w:val="none" w:sz="0" w:space="0" w:color="auto"/>
        <w:right w:val="none" w:sz="0" w:space="0" w:color="auto"/>
      </w:divBdr>
    </w:div>
    <w:div w:id="1502232231">
      <w:bodyDiv w:val="1"/>
      <w:marLeft w:val="0"/>
      <w:marRight w:val="0"/>
      <w:marTop w:val="0"/>
      <w:marBottom w:val="0"/>
      <w:divBdr>
        <w:top w:val="none" w:sz="0" w:space="0" w:color="auto"/>
        <w:left w:val="none" w:sz="0" w:space="0" w:color="auto"/>
        <w:bottom w:val="none" w:sz="0" w:space="0" w:color="auto"/>
        <w:right w:val="none" w:sz="0" w:space="0" w:color="auto"/>
      </w:divBdr>
    </w:div>
    <w:div w:id="1527596575">
      <w:bodyDiv w:val="1"/>
      <w:marLeft w:val="0"/>
      <w:marRight w:val="0"/>
      <w:marTop w:val="0"/>
      <w:marBottom w:val="0"/>
      <w:divBdr>
        <w:top w:val="none" w:sz="0" w:space="0" w:color="auto"/>
        <w:left w:val="none" w:sz="0" w:space="0" w:color="auto"/>
        <w:bottom w:val="none" w:sz="0" w:space="0" w:color="auto"/>
        <w:right w:val="none" w:sz="0" w:space="0" w:color="auto"/>
      </w:divBdr>
    </w:div>
    <w:div w:id="1549410650">
      <w:bodyDiv w:val="1"/>
      <w:marLeft w:val="0"/>
      <w:marRight w:val="0"/>
      <w:marTop w:val="0"/>
      <w:marBottom w:val="0"/>
      <w:divBdr>
        <w:top w:val="none" w:sz="0" w:space="0" w:color="auto"/>
        <w:left w:val="none" w:sz="0" w:space="0" w:color="auto"/>
        <w:bottom w:val="none" w:sz="0" w:space="0" w:color="auto"/>
        <w:right w:val="none" w:sz="0" w:space="0" w:color="auto"/>
      </w:divBdr>
    </w:div>
    <w:div w:id="1722630940">
      <w:bodyDiv w:val="1"/>
      <w:marLeft w:val="0"/>
      <w:marRight w:val="0"/>
      <w:marTop w:val="0"/>
      <w:marBottom w:val="0"/>
      <w:divBdr>
        <w:top w:val="none" w:sz="0" w:space="0" w:color="auto"/>
        <w:left w:val="none" w:sz="0" w:space="0" w:color="auto"/>
        <w:bottom w:val="none" w:sz="0" w:space="0" w:color="auto"/>
        <w:right w:val="none" w:sz="0" w:space="0" w:color="auto"/>
      </w:divBdr>
    </w:div>
    <w:div w:id="1729303455">
      <w:bodyDiv w:val="1"/>
      <w:marLeft w:val="0"/>
      <w:marRight w:val="0"/>
      <w:marTop w:val="0"/>
      <w:marBottom w:val="0"/>
      <w:divBdr>
        <w:top w:val="none" w:sz="0" w:space="0" w:color="auto"/>
        <w:left w:val="none" w:sz="0" w:space="0" w:color="auto"/>
        <w:bottom w:val="none" w:sz="0" w:space="0" w:color="auto"/>
        <w:right w:val="none" w:sz="0" w:space="0" w:color="auto"/>
      </w:divBdr>
    </w:div>
    <w:div w:id="1744791898">
      <w:bodyDiv w:val="1"/>
      <w:marLeft w:val="0"/>
      <w:marRight w:val="0"/>
      <w:marTop w:val="0"/>
      <w:marBottom w:val="0"/>
      <w:divBdr>
        <w:top w:val="none" w:sz="0" w:space="0" w:color="auto"/>
        <w:left w:val="none" w:sz="0" w:space="0" w:color="auto"/>
        <w:bottom w:val="none" w:sz="0" w:space="0" w:color="auto"/>
        <w:right w:val="none" w:sz="0" w:space="0" w:color="auto"/>
      </w:divBdr>
    </w:div>
    <w:div w:id="1770739166">
      <w:bodyDiv w:val="1"/>
      <w:marLeft w:val="0"/>
      <w:marRight w:val="0"/>
      <w:marTop w:val="0"/>
      <w:marBottom w:val="0"/>
      <w:divBdr>
        <w:top w:val="none" w:sz="0" w:space="0" w:color="auto"/>
        <w:left w:val="none" w:sz="0" w:space="0" w:color="auto"/>
        <w:bottom w:val="none" w:sz="0" w:space="0" w:color="auto"/>
        <w:right w:val="none" w:sz="0" w:space="0" w:color="auto"/>
      </w:divBdr>
    </w:div>
    <w:div w:id="1852717933">
      <w:bodyDiv w:val="1"/>
      <w:marLeft w:val="0"/>
      <w:marRight w:val="0"/>
      <w:marTop w:val="0"/>
      <w:marBottom w:val="0"/>
      <w:divBdr>
        <w:top w:val="none" w:sz="0" w:space="0" w:color="auto"/>
        <w:left w:val="none" w:sz="0" w:space="0" w:color="auto"/>
        <w:bottom w:val="none" w:sz="0" w:space="0" w:color="auto"/>
        <w:right w:val="none" w:sz="0" w:space="0" w:color="auto"/>
      </w:divBdr>
    </w:div>
    <w:div w:id="1867017100">
      <w:bodyDiv w:val="1"/>
      <w:marLeft w:val="0"/>
      <w:marRight w:val="0"/>
      <w:marTop w:val="0"/>
      <w:marBottom w:val="0"/>
      <w:divBdr>
        <w:top w:val="none" w:sz="0" w:space="0" w:color="auto"/>
        <w:left w:val="none" w:sz="0" w:space="0" w:color="auto"/>
        <w:bottom w:val="none" w:sz="0" w:space="0" w:color="auto"/>
        <w:right w:val="none" w:sz="0" w:space="0" w:color="auto"/>
      </w:divBdr>
    </w:div>
    <w:div w:id="1873109603">
      <w:bodyDiv w:val="1"/>
      <w:marLeft w:val="0"/>
      <w:marRight w:val="0"/>
      <w:marTop w:val="0"/>
      <w:marBottom w:val="0"/>
      <w:divBdr>
        <w:top w:val="none" w:sz="0" w:space="0" w:color="auto"/>
        <w:left w:val="none" w:sz="0" w:space="0" w:color="auto"/>
        <w:bottom w:val="none" w:sz="0" w:space="0" w:color="auto"/>
        <w:right w:val="none" w:sz="0" w:space="0" w:color="auto"/>
      </w:divBdr>
    </w:div>
    <w:div w:id="1874229027">
      <w:bodyDiv w:val="1"/>
      <w:marLeft w:val="0"/>
      <w:marRight w:val="0"/>
      <w:marTop w:val="0"/>
      <w:marBottom w:val="0"/>
      <w:divBdr>
        <w:top w:val="none" w:sz="0" w:space="0" w:color="auto"/>
        <w:left w:val="none" w:sz="0" w:space="0" w:color="auto"/>
        <w:bottom w:val="none" w:sz="0" w:space="0" w:color="auto"/>
        <w:right w:val="none" w:sz="0" w:space="0" w:color="auto"/>
      </w:divBdr>
    </w:div>
    <w:div w:id="1884437907">
      <w:bodyDiv w:val="1"/>
      <w:marLeft w:val="0"/>
      <w:marRight w:val="0"/>
      <w:marTop w:val="0"/>
      <w:marBottom w:val="0"/>
      <w:divBdr>
        <w:top w:val="none" w:sz="0" w:space="0" w:color="auto"/>
        <w:left w:val="none" w:sz="0" w:space="0" w:color="auto"/>
        <w:bottom w:val="none" w:sz="0" w:space="0" w:color="auto"/>
        <w:right w:val="none" w:sz="0" w:space="0" w:color="auto"/>
      </w:divBdr>
    </w:div>
    <w:div w:id="19254134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alcaldiabogota.gov.co/sisjur/normas/Norma1.jsp?i=9027" TargetMode="External"/><Relationship Id="rId18" Type="http://schemas.openxmlformats.org/officeDocument/2006/relationships/hyperlink" Target="https://www.alcaldiabogota.gov.co/sisjur/normas/Norma1.jsp?i=111597" TargetMode="External"/><Relationship Id="rId26" Type="http://schemas.openxmlformats.org/officeDocument/2006/relationships/image" Target="media/image3.jpeg"/><Relationship Id="rId21" Type="http://schemas.openxmlformats.org/officeDocument/2006/relationships/hyperlink" Target="https://www.alcaldiabogota.gov.co/sisjur/normas/Norma1.jsp?i=1693" TargetMode="External"/><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www.alcaldiabogota.gov.co/sisjur/normas/Norma1.jsp?i=9027" TargetMode="External"/><Relationship Id="rId17" Type="http://schemas.openxmlformats.org/officeDocument/2006/relationships/hyperlink" Target="https://www.alcaldiabogota.gov.co/sisjur/normas/Norma1.jsp?i=84666" TargetMode="External"/><Relationship Id="rId25" Type="http://schemas.openxmlformats.org/officeDocument/2006/relationships/image" Target="media/image2.jpeg"/><Relationship Id="rId33" Type="http://schemas.openxmlformats.org/officeDocument/2006/relationships/hyperlink" Target="https://www.un.org/sustainabledevelopment/es/"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alcaldiabogota.gov.co/sisjur/normas/Norma1.jsp?dt=S&amp;i=140678" TargetMode="External"/><Relationship Id="rId20" Type="http://schemas.openxmlformats.org/officeDocument/2006/relationships/hyperlink" Target="https://www.alcaldiabogota.gov.co/sisjur/normas/Norma1.jsp?i=127339" TargetMode="Externa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ecretariasenado.gov.co/senado/basedoc/ley_2116_2021.html" TargetMode="External"/><Relationship Id="rId24" Type="http://schemas.openxmlformats.org/officeDocument/2006/relationships/image" Target="media/image1.jpeg"/><Relationship Id="rId32" Type="http://schemas.openxmlformats.org/officeDocument/2006/relationships/hyperlink" Target="http://www.portugal.gov.pt/media/579687/20120420_mef_estrategia_reducao_pagamento_atraso.pdf" TargetMode="Externa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www.alcaldiabogota.gov.co/sisjur/normas/Norma1.jsp?i=2051" TargetMode="External"/><Relationship Id="rId23" Type="http://schemas.openxmlformats.org/officeDocument/2006/relationships/hyperlink" Target="https://www.alcaldiabogota.gov.co/sisjur/normas/Norma1.jsp?i=127339" TargetMode="External"/><Relationship Id="rId28" Type="http://schemas.openxmlformats.org/officeDocument/2006/relationships/image" Target="media/image5.png"/><Relationship Id="rId36" Type="http://schemas.openxmlformats.org/officeDocument/2006/relationships/footer" Target="footer2.xml"/><Relationship Id="rId10" Type="http://schemas.openxmlformats.org/officeDocument/2006/relationships/chart" Target="charts/chart2.xml"/><Relationship Id="rId19" Type="http://schemas.openxmlformats.org/officeDocument/2006/relationships/hyperlink" Target="https://www.alcaldiabogota.gov.co/sisjur/normas/Norma1.jsp?i=84666" TargetMode="External"/><Relationship Id="rId31" Type="http://schemas.openxmlformats.org/officeDocument/2006/relationships/image" Target="media/image8.jpeg"/><Relationship Id="rId4" Type="http://schemas.openxmlformats.org/officeDocument/2006/relationships/styles" Target="styles.xml"/><Relationship Id="rId9" Type="http://schemas.openxmlformats.org/officeDocument/2006/relationships/chart" Target="charts/chart1.xml"/><Relationship Id="rId14" Type="http://schemas.openxmlformats.org/officeDocument/2006/relationships/hyperlink" Target="https://www.alcaldiabogota.gov.co/sisjur/normas/Norma1.jsp?i=2047" TargetMode="External"/><Relationship Id="rId22" Type="http://schemas.openxmlformats.org/officeDocument/2006/relationships/hyperlink" Target="https://www.alcaldiabogota.gov.co/sisjur/normas/Norma1.jsp?i=127339" TargetMode="External"/><Relationship Id="rId27" Type="http://schemas.openxmlformats.org/officeDocument/2006/relationships/image" Target="media/image4.jpeg"/><Relationship Id="rId30" Type="http://schemas.openxmlformats.org/officeDocument/2006/relationships/image" Target="media/image7.png"/><Relationship Id="rId35" Type="http://schemas.openxmlformats.org/officeDocument/2006/relationships/footer" Target="footer1.xml"/><Relationship Id="rId8" Type="http://schemas.openxmlformats.org/officeDocument/2006/relationships/endnotes" Target="endnotes.xml"/><Relationship Id="rId3" Type="http://schemas.openxmlformats.org/officeDocument/2006/relationships/numbering" Target="numbering.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charts/_rels/chart1.xml.rels><?xml version="1.0" encoding="UTF-8" standalone="yes"?>
<Relationships xmlns="http://schemas.openxmlformats.org/package/2006/relationships"><Relationship Id="rId3" Type="http://schemas.openxmlformats.org/officeDocument/2006/relationships/oleObject" Target="Libro2"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Libro2"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400" b="1" i="0" u="none" strike="noStrike" baseline="0"/>
              <a:t>Gráfica No. 1. Número de obligaciones por pagar por localidad, con corte a 30 de septiembre de 2023 </a:t>
            </a:r>
            <a:endParaRPr lang="es-CO" b="1"/>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spPr>
            <a:solidFill>
              <a:srgbClr val="FF0000"/>
            </a:solidFill>
            <a:ln>
              <a:noFill/>
            </a:ln>
            <a:effectLst/>
          </c:spPr>
          <c:invertIfNegative val="0"/>
          <c:cat>
            <c:strRef>
              <c:f>Hoja1!$N$21:$N$40</c:f>
              <c:strCache>
                <c:ptCount val="20"/>
                <c:pt idx="0">
                  <c:v>Usaquén</c:v>
                </c:pt>
                <c:pt idx="1">
                  <c:v>Chapinero</c:v>
                </c:pt>
                <c:pt idx="2">
                  <c:v>Santafé</c:v>
                </c:pt>
                <c:pt idx="3">
                  <c:v>San Cristóbal</c:v>
                </c:pt>
                <c:pt idx="4">
                  <c:v>Usme</c:v>
                </c:pt>
                <c:pt idx="5">
                  <c:v>Tunjuelito</c:v>
                </c:pt>
                <c:pt idx="6">
                  <c:v>Bosa</c:v>
                </c:pt>
                <c:pt idx="7">
                  <c:v>Kennedy</c:v>
                </c:pt>
                <c:pt idx="8">
                  <c:v>Fontibón</c:v>
                </c:pt>
                <c:pt idx="9">
                  <c:v>Engativá</c:v>
                </c:pt>
                <c:pt idx="10">
                  <c:v>Suba</c:v>
                </c:pt>
                <c:pt idx="11">
                  <c:v>Barrios Unidos</c:v>
                </c:pt>
                <c:pt idx="12">
                  <c:v>Teusaquillo</c:v>
                </c:pt>
                <c:pt idx="13">
                  <c:v>Los Mártires</c:v>
                </c:pt>
                <c:pt idx="14">
                  <c:v>Antonio Nariño</c:v>
                </c:pt>
                <c:pt idx="15">
                  <c:v>Puente Aranda</c:v>
                </c:pt>
                <c:pt idx="16">
                  <c:v>La Candelaria</c:v>
                </c:pt>
                <c:pt idx="17">
                  <c:v>Rafael Uribe</c:v>
                </c:pt>
                <c:pt idx="18">
                  <c:v>Ciudad Bolívar</c:v>
                </c:pt>
                <c:pt idx="19">
                  <c:v>Sumapaz</c:v>
                </c:pt>
              </c:strCache>
            </c:strRef>
          </c:cat>
          <c:val>
            <c:numRef>
              <c:f>Hoja1!$C$14:$V$14</c:f>
              <c:numCache>
                <c:formatCode>General</c:formatCode>
                <c:ptCount val="20"/>
                <c:pt idx="0">
                  <c:v>139</c:v>
                </c:pt>
                <c:pt idx="1">
                  <c:v>68</c:v>
                </c:pt>
                <c:pt idx="2">
                  <c:v>322</c:v>
                </c:pt>
                <c:pt idx="3">
                  <c:v>281</c:v>
                </c:pt>
                <c:pt idx="4">
                  <c:v>219</c:v>
                </c:pt>
                <c:pt idx="5">
                  <c:v>154</c:v>
                </c:pt>
                <c:pt idx="6">
                  <c:v>182</c:v>
                </c:pt>
                <c:pt idx="7">
                  <c:v>706</c:v>
                </c:pt>
                <c:pt idx="8">
                  <c:v>422</c:v>
                </c:pt>
                <c:pt idx="9">
                  <c:v>123</c:v>
                </c:pt>
                <c:pt idx="10">
                  <c:v>148</c:v>
                </c:pt>
                <c:pt idx="11">
                  <c:v>38</c:v>
                </c:pt>
                <c:pt idx="12">
                  <c:v>145</c:v>
                </c:pt>
                <c:pt idx="13">
                  <c:v>154</c:v>
                </c:pt>
                <c:pt idx="14">
                  <c:v>78</c:v>
                </c:pt>
                <c:pt idx="15">
                  <c:v>124</c:v>
                </c:pt>
                <c:pt idx="16">
                  <c:v>67</c:v>
                </c:pt>
                <c:pt idx="17">
                  <c:v>324</c:v>
                </c:pt>
                <c:pt idx="18">
                  <c:v>447</c:v>
                </c:pt>
                <c:pt idx="19">
                  <c:v>142</c:v>
                </c:pt>
              </c:numCache>
            </c:numRef>
          </c:val>
          <c:extLst>
            <c:ext xmlns:c16="http://schemas.microsoft.com/office/drawing/2014/chart" uri="{C3380CC4-5D6E-409C-BE32-E72D297353CC}">
              <c16:uniqueId val="{00000000-6CFC-4C19-A849-C88FE2F4E464}"/>
            </c:ext>
          </c:extLst>
        </c:ser>
        <c:dLbls>
          <c:showLegendKey val="0"/>
          <c:showVal val="0"/>
          <c:showCatName val="0"/>
          <c:showSerName val="0"/>
          <c:showPercent val="0"/>
          <c:showBubbleSize val="0"/>
        </c:dLbls>
        <c:gapWidth val="219"/>
        <c:overlap val="-27"/>
        <c:axId val="186194975"/>
        <c:axId val="183164575"/>
      </c:barChart>
      <c:catAx>
        <c:axId val="18619497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83164575"/>
        <c:crosses val="autoZero"/>
        <c:auto val="1"/>
        <c:lblAlgn val="ctr"/>
        <c:lblOffset val="100"/>
        <c:noMultiLvlLbl val="0"/>
      </c:catAx>
      <c:valAx>
        <c:axId val="18316457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86194975"/>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400" b="1" i="0" u="none" strike="noStrike" baseline="0"/>
              <a:t>Gráfico No. 2. Número de obligaciones por pagar de acuerdo con su estado, con corte a 30 de septiembre de 2023 </a:t>
            </a:r>
            <a:endParaRPr lang="es-CO" b="1"/>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1EAC-4C28-8A68-FD436A5D6E1F}"/>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1EAC-4C28-8A68-FD436A5D6E1F}"/>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1EAC-4C28-8A68-FD436A5D6E1F}"/>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1EAC-4C28-8A68-FD436A5D6E1F}"/>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1EAC-4C28-8A68-FD436A5D6E1F}"/>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1EAC-4C28-8A68-FD436A5D6E1F}"/>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1EAC-4C28-8A68-FD436A5D6E1F}"/>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1EAC-4C28-8A68-FD436A5D6E1F}"/>
              </c:ext>
            </c:extLst>
          </c:dPt>
          <c:cat>
            <c:strRef>
              <c:f>Hoja1!$D$23:$K$23</c:f>
              <c:strCache>
                <c:ptCount val="8"/>
                <c:pt idx="0">
                  <c:v>Terminados con saldo (1640)</c:v>
                </c:pt>
                <c:pt idx="1">
                  <c:v>Contratos suscritos, sin
iniciar (10)</c:v>
                </c:pt>
                <c:pt idx="2">
                  <c:v>Incumplimiento o
demanda (28)</c:v>
                </c:pt>
                <c:pt idx="3">
                  <c:v>Suspendidos (71)</c:v>
                </c:pt>
                <c:pt idx="4">
                  <c:v>Depuración/ Sin
Información (22)</c:v>
                </c:pt>
                <c:pt idx="5">
                  <c:v>En ejecución (622)</c:v>
                </c:pt>
                <c:pt idx="6">
                  <c:v>Liquidados con saldo(362)</c:v>
                </c:pt>
                <c:pt idx="7">
                  <c:v>En proceso de liquidación
con saldo (1528</c:v>
                </c:pt>
              </c:strCache>
            </c:strRef>
          </c:cat>
          <c:val>
            <c:numRef>
              <c:f>Hoja1!$D$22:$K$22</c:f>
              <c:numCache>
                <c:formatCode>General</c:formatCode>
                <c:ptCount val="8"/>
                <c:pt idx="0">
                  <c:v>1640</c:v>
                </c:pt>
                <c:pt idx="1">
                  <c:v>10</c:v>
                </c:pt>
                <c:pt idx="2">
                  <c:v>28</c:v>
                </c:pt>
                <c:pt idx="3">
                  <c:v>71</c:v>
                </c:pt>
                <c:pt idx="4">
                  <c:v>22</c:v>
                </c:pt>
                <c:pt idx="5">
                  <c:v>622</c:v>
                </c:pt>
                <c:pt idx="6">
                  <c:v>362</c:v>
                </c:pt>
                <c:pt idx="7">
                  <c:v>1528</c:v>
                </c:pt>
              </c:numCache>
            </c:numRef>
          </c:val>
          <c:extLst>
            <c:ext xmlns:c16="http://schemas.microsoft.com/office/drawing/2014/chart" uri="{C3380CC4-5D6E-409C-BE32-E72D297353CC}">
              <c16:uniqueId val="{00000010-1EAC-4C28-8A68-FD436A5D6E1F}"/>
            </c:ext>
          </c:extLst>
        </c:ser>
        <c:dLbls>
          <c:showLegendKey val="0"/>
          <c:showVal val="0"/>
          <c:showCatName val="0"/>
          <c:showSerName val="0"/>
          <c:showPercent val="0"/>
          <c:showBubbleSize val="0"/>
          <c:showLeaderLines val="1"/>
        </c:dLbls>
      </c:pie3DChart>
      <c:spPr>
        <a:noFill/>
        <a:ln>
          <a:noFill/>
        </a:ln>
        <a:effectLst/>
      </c:spPr>
    </c:plotArea>
    <c:legend>
      <c:legendPos val="b"/>
      <c:layout>
        <c:manualLayout>
          <c:xMode val="edge"/>
          <c:yMode val="edge"/>
          <c:x val="7.4998713396119618E-2"/>
          <c:y val="0.71281331741539122"/>
          <c:w val="0.85467092348750529"/>
          <c:h val="0.27075261425655128"/>
        </c:manualLayout>
      </c:layout>
      <c:overlay val="0"/>
      <c:spPr>
        <a:noFill/>
        <a:ln>
          <a:noFill/>
        </a:ln>
        <a:effectLst>
          <a:outerShdw blurRad="50800" dist="50800" dir="5400000" algn="ctr" rotWithShape="0">
            <a:srgbClr val="000000">
              <a:alpha val="98000"/>
            </a:srgbClr>
          </a:outerShdw>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vkmQOdDJilhb0fBBzGSyYEOH0xw==">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</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341ADD5-AF18-4D2A-BA23-C86CA7B0C9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29</Pages>
  <Words>8666</Words>
  <Characters>47663</Characters>
  <Application>Microsoft Office Word</Application>
  <DocSecurity>0</DocSecurity>
  <Lines>397</Lines>
  <Paragraphs>112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56217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WILSON L. MORENO C.</dc:creator>
  <cp:lastModifiedBy>CLAUDIA TERESA SUAREZ NIÑO</cp:lastModifiedBy>
  <cp:revision>4</cp:revision>
  <dcterms:created xsi:type="dcterms:W3CDTF">2025-01-23T15:40:00Z</dcterms:created>
  <dcterms:modified xsi:type="dcterms:W3CDTF">2025-01-29T14:53:00Z</dcterms:modified>
</cp:coreProperties>
</file>